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FE117" w14:textId="77777777" w:rsidR="00BE78E4" w:rsidRPr="00D850F0" w:rsidRDefault="001A57A8" w:rsidP="00933615">
      <w:pPr>
        <w:spacing w:after="0"/>
        <w:jc w:val="center"/>
        <w:rPr>
          <w:b/>
          <w:color w:val="3B6B27"/>
          <w:sz w:val="40"/>
          <w:szCs w:val="40"/>
        </w:rPr>
      </w:pPr>
      <w:r w:rsidRPr="00D850F0">
        <w:rPr>
          <w:b/>
          <w:noProof/>
          <w:color w:val="3B6B27"/>
          <w:sz w:val="40"/>
          <w:szCs w:val="40"/>
          <w:lang w:val="en-GB" w:eastAsia="en-GB"/>
        </w:rPr>
        <w:drawing>
          <wp:anchor distT="0" distB="0" distL="114300" distR="114300" simplePos="0" relativeHeight="251658240" behindDoc="0" locked="0" layoutInCell="1" allowOverlap="1" wp14:anchorId="2882FCAC" wp14:editId="4424183E">
            <wp:simplePos x="0" y="0"/>
            <wp:positionH relativeFrom="column">
              <wp:posOffset>5074285</wp:posOffset>
            </wp:positionH>
            <wp:positionV relativeFrom="paragraph">
              <wp:posOffset>-460375</wp:posOffset>
            </wp:positionV>
            <wp:extent cx="1508125" cy="978535"/>
            <wp:effectExtent l="0" t="0" r="0" b="0"/>
            <wp:wrapNone/>
            <wp:docPr id="1" name="Picture 1" descr="3RP (2017-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RP (2017-20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BE78E4" w:rsidRPr="00D850F0">
        <w:rPr>
          <w:b/>
          <w:color w:val="3B6B27"/>
          <w:sz w:val="40"/>
          <w:szCs w:val="40"/>
        </w:rPr>
        <w:t>3RP 2017-2018 PLANNING</w:t>
      </w:r>
    </w:p>
    <w:p w14:paraId="597B297D" w14:textId="77777777" w:rsidR="00DF39B6" w:rsidRPr="00AD7235" w:rsidRDefault="00BF4FE4" w:rsidP="00434AE2">
      <w:pPr>
        <w:spacing w:after="0"/>
        <w:jc w:val="center"/>
        <w:rPr>
          <w:b/>
          <w:color w:val="3B6B27"/>
        </w:rPr>
      </w:pPr>
      <w:r w:rsidRPr="00D850F0">
        <w:rPr>
          <w:b/>
          <w:color w:val="3B6B27"/>
          <w:sz w:val="40"/>
          <w:szCs w:val="40"/>
        </w:rPr>
        <w:t>GUIDANCE NOTE</w:t>
      </w:r>
      <w:r w:rsidR="00150FDE" w:rsidRPr="00D850F0">
        <w:rPr>
          <w:b/>
          <w:color w:val="3B6B27"/>
          <w:sz w:val="40"/>
          <w:szCs w:val="40"/>
        </w:rPr>
        <w:t xml:space="preserve"> </w:t>
      </w:r>
      <w:r w:rsidR="00434AE2" w:rsidRPr="00D850F0">
        <w:rPr>
          <w:b/>
          <w:color w:val="3B6B27"/>
          <w:sz w:val="40"/>
          <w:szCs w:val="40"/>
        </w:rPr>
        <w:t>9</w:t>
      </w:r>
    </w:p>
    <w:p w14:paraId="64F37D3F" w14:textId="77777777" w:rsidR="00BF4FE4" w:rsidRPr="00D850F0" w:rsidRDefault="00BF4FE4" w:rsidP="00933615">
      <w:pPr>
        <w:spacing w:after="0"/>
        <w:jc w:val="center"/>
        <w:rPr>
          <w:b/>
          <w:color w:val="002060"/>
          <w:sz w:val="12"/>
          <w:szCs w:val="12"/>
        </w:rPr>
      </w:pPr>
    </w:p>
    <w:p w14:paraId="6C18B5BF" w14:textId="77777777" w:rsidR="003F543C" w:rsidRPr="00BB081E" w:rsidRDefault="00BD2458" w:rsidP="00D61449">
      <w:pPr>
        <w:spacing w:after="0"/>
        <w:jc w:val="center"/>
        <w:rPr>
          <w:b/>
          <w:color w:val="9AC31C"/>
          <w:sz w:val="36"/>
        </w:rPr>
      </w:pPr>
      <w:r w:rsidRPr="00BB081E">
        <w:rPr>
          <w:b/>
          <w:color w:val="9AC31C"/>
          <w:sz w:val="36"/>
        </w:rPr>
        <w:t xml:space="preserve">Reaching </w:t>
      </w:r>
      <w:r w:rsidR="00D61449" w:rsidRPr="00BB081E">
        <w:rPr>
          <w:b/>
          <w:color w:val="9AC31C"/>
          <w:sz w:val="36"/>
        </w:rPr>
        <w:t xml:space="preserve">Adolescents and Youth </w:t>
      </w:r>
    </w:p>
    <w:p w14:paraId="0B0154C1" w14:textId="77777777" w:rsidR="00C33355" w:rsidRPr="00436430" w:rsidRDefault="00C33355" w:rsidP="00933615">
      <w:pPr>
        <w:spacing w:after="0"/>
      </w:pPr>
    </w:p>
    <w:p w14:paraId="4D1D2709" w14:textId="406692DA" w:rsidR="00C33355" w:rsidRPr="00D850F0" w:rsidRDefault="00BB081E" w:rsidP="00434AE2">
      <w:pPr>
        <w:pStyle w:val="Heading1"/>
        <w:numPr>
          <w:ilvl w:val="0"/>
          <w:numId w:val="0"/>
        </w:numPr>
        <w:spacing w:after="120"/>
        <w:ind w:left="432" w:hanging="432"/>
        <w:rPr>
          <w:color w:val="3B6B27"/>
          <w:sz w:val="28"/>
          <w:szCs w:val="22"/>
        </w:rPr>
      </w:pPr>
      <w:r w:rsidRPr="00D850F0">
        <w:rPr>
          <w:color w:val="3B6B27"/>
          <w:sz w:val="28"/>
          <w:szCs w:val="22"/>
        </w:rPr>
        <w:t>Building the resilience of adolescents and youth</w:t>
      </w:r>
    </w:p>
    <w:p w14:paraId="726F6393" w14:textId="2799BEF4" w:rsidR="00D61449" w:rsidRPr="00436430" w:rsidRDefault="00D61449" w:rsidP="00D61449">
      <w:pPr>
        <w:tabs>
          <w:tab w:val="left" w:pos="2760"/>
        </w:tabs>
        <w:spacing w:after="120" w:line="276" w:lineRule="auto"/>
        <w:jc w:val="lowKashida"/>
      </w:pPr>
      <w:r w:rsidRPr="00436430">
        <w:t>Adolescents and youth</w:t>
      </w:r>
      <w:r w:rsidRPr="00436430">
        <w:rPr>
          <w:rStyle w:val="FootnoteReference"/>
        </w:rPr>
        <w:footnoteReference w:id="2"/>
      </w:r>
      <w:r w:rsidR="006F3927">
        <w:t xml:space="preserve"> </w:t>
      </w:r>
      <w:r w:rsidRPr="00436430">
        <w:t xml:space="preserve">comprise a significant proportion of the Syrian refugee population who have great potential but face significant risks. </w:t>
      </w:r>
      <w:r w:rsidR="000E3B1B" w:rsidRPr="00436430">
        <w:t xml:space="preserve">The high percentage of adolescent and youth population presents both challenges and opportunities </w:t>
      </w:r>
      <w:r w:rsidR="000E3B1B" w:rsidRPr="00A01790">
        <w:t>for the Syria response</w:t>
      </w:r>
      <w:r w:rsidR="00DA4F01" w:rsidRPr="00A01790">
        <w:t>.</w:t>
      </w:r>
      <w:r w:rsidR="000E3B1B" w:rsidRPr="00A01790">
        <w:t xml:space="preserve"> </w:t>
      </w:r>
      <w:r w:rsidRPr="00A01790">
        <w:t>Adolescents and youth have been drastically affected by the confli</w:t>
      </w:r>
      <w:r w:rsidR="0020482B" w:rsidRPr="00A01790">
        <w:t>ct, and are growing frustrated and</w:t>
      </w:r>
      <w:r w:rsidRPr="00A01790">
        <w:t xml:space="preserve"> disempowered by low access to quality education</w:t>
      </w:r>
      <w:r w:rsidR="006F3927" w:rsidRPr="00A01790">
        <w:t>,</w:t>
      </w:r>
      <w:r w:rsidRPr="00A01790">
        <w:t xml:space="preserve"> </w:t>
      </w:r>
      <w:r w:rsidR="00254798" w:rsidRPr="00A01790">
        <w:t>including Technical Vocational Education and Training (TVET)</w:t>
      </w:r>
      <w:r w:rsidRPr="00A01790">
        <w:t>, limited</w:t>
      </w:r>
      <w:r w:rsidR="00551BE5" w:rsidRPr="00A01790">
        <w:t xml:space="preserve"> access to</w:t>
      </w:r>
      <w:r w:rsidRPr="00A01790">
        <w:t xml:space="preserve"> protection</w:t>
      </w:r>
      <w:r w:rsidR="00551BE5" w:rsidRPr="00A01790">
        <w:t xml:space="preserve"> </w:t>
      </w:r>
      <w:r w:rsidR="0020482B" w:rsidRPr="00A01790">
        <w:t xml:space="preserve">and </w:t>
      </w:r>
      <w:r w:rsidR="00551BE5" w:rsidRPr="00A01790">
        <w:t>basic services</w:t>
      </w:r>
      <w:r w:rsidRPr="00A01790">
        <w:t>, high unemployment</w:t>
      </w:r>
      <w:r w:rsidR="00551BE5" w:rsidRPr="00A01790">
        <w:t xml:space="preserve"> and restricted livelihood opportunities. At the same time adolescents and young people lack a</w:t>
      </w:r>
      <w:r w:rsidRPr="00A01790">
        <w:t xml:space="preserve"> voice</w:t>
      </w:r>
      <w:r w:rsidR="00551BE5" w:rsidRPr="00A01790">
        <w:t xml:space="preserve">, avenues for </w:t>
      </w:r>
      <w:r w:rsidR="0020482B" w:rsidRPr="00A01790">
        <w:t>contributing to their communities</w:t>
      </w:r>
      <w:r w:rsidR="00551BE5" w:rsidRPr="00A01790">
        <w:t>, and opportunities</w:t>
      </w:r>
      <w:r w:rsidR="00551BE5">
        <w:t xml:space="preserve"> for</w:t>
      </w:r>
      <w:r w:rsidRPr="00436430">
        <w:t xml:space="preserve"> engagement i</w:t>
      </w:r>
      <w:r w:rsidR="0007490D">
        <w:t>n social cohesion and decision-m</w:t>
      </w:r>
      <w:r w:rsidRPr="00436430">
        <w:t>aking processes</w:t>
      </w:r>
      <w:r w:rsidR="006F3927">
        <w:t>.</w:t>
      </w:r>
    </w:p>
    <w:p w14:paraId="364C0067" w14:textId="09EA1985" w:rsidR="00436430" w:rsidRDefault="0088056A" w:rsidP="00436430">
      <w:pPr>
        <w:jc w:val="both"/>
      </w:pPr>
      <w:r>
        <w:t>E</w:t>
      </w:r>
      <w:r w:rsidR="00D61449" w:rsidRPr="00436430">
        <w:t xml:space="preserve">mpowered and skilled adolescents and youth are critical to </w:t>
      </w:r>
      <w:r w:rsidR="00C4655D">
        <w:t xml:space="preserve">for the future of the </w:t>
      </w:r>
      <w:r w:rsidR="00D61449" w:rsidRPr="00436430">
        <w:t>region.</w:t>
      </w:r>
      <w:r w:rsidR="000E3B1B" w:rsidRPr="00436430">
        <w:t xml:space="preserve"> Studies have shown that the lack of opportunities for civic, social and economic engagement for young people is a key cause of disillusionment and a driver for </w:t>
      </w:r>
      <w:r w:rsidR="000E3B1B" w:rsidRPr="00BB081E">
        <w:t>onward migration</w:t>
      </w:r>
      <w:r w:rsidR="006F3927" w:rsidRPr="00BB081E">
        <w:t>.</w:t>
      </w:r>
      <w:r w:rsidR="00436430" w:rsidRPr="00BB081E">
        <w:rPr>
          <w:rStyle w:val="FootnoteReference"/>
        </w:rPr>
        <w:footnoteReference w:id="3"/>
      </w:r>
      <w:r w:rsidR="000E3B1B" w:rsidRPr="00BB081E">
        <w:t xml:space="preserve"> </w:t>
      </w:r>
      <w:r w:rsidR="00436430" w:rsidRPr="00BB081E">
        <w:t xml:space="preserve">Conversely, when adolescents and youth are empowered to play meaningful roles in their communities, given a sense of purpose, evidence shows that they make positive choices. </w:t>
      </w:r>
    </w:p>
    <w:p w14:paraId="6257C2A1" w14:textId="1131A8CA" w:rsidR="005F314E" w:rsidRDefault="00985F7C" w:rsidP="005F314E">
      <w:pPr>
        <w:spacing w:line="276" w:lineRule="auto"/>
        <w:jc w:val="lowKashida"/>
      </w:pPr>
      <w:r>
        <w:t>Across the 3RP, all</w:t>
      </w:r>
      <w:r w:rsidR="0007490D">
        <w:t xml:space="preserve"> sectors have programmes that benefit the needs of adolescents and youth</w:t>
      </w:r>
      <w:r>
        <w:t>,</w:t>
      </w:r>
      <w:r w:rsidR="0007490D">
        <w:t xml:space="preserve"> although there has been sign</w:t>
      </w:r>
      <w:r>
        <w:t>i</w:t>
      </w:r>
      <w:r w:rsidR="0007490D">
        <w:t xml:space="preserve">ficant variation in the degree to which the specific needs of adolescents and youth have been addressed. </w:t>
      </w:r>
      <w:r w:rsidR="005F314E">
        <w:t xml:space="preserve">Education and </w:t>
      </w:r>
      <w:r>
        <w:t>child protection</w:t>
      </w:r>
      <w:r w:rsidR="009B515E">
        <w:t>,</w:t>
      </w:r>
      <w:r>
        <w:t xml:space="preserve"> due to their focus on children and youth</w:t>
      </w:r>
      <w:r w:rsidR="009B515E">
        <w:t>,</w:t>
      </w:r>
      <w:r w:rsidR="005F314E">
        <w:t xml:space="preserve"> </w:t>
      </w:r>
      <w:r>
        <w:t>have an explicit focus on this age group</w:t>
      </w:r>
      <w:r w:rsidR="005F314E">
        <w:t xml:space="preserve"> through their regular programming and will continue </w:t>
      </w:r>
      <w:r w:rsidR="0007490D">
        <w:t xml:space="preserve">refine their strategies and approaches to address this age group </w:t>
      </w:r>
      <w:r w:rsidR="005F314E">
        <w:t>wit</w:t>
      </w:r>
      <w:r>
        <w:t>hin the next 3RP planning cycle. For other sectors</w:t>
      </w:r>
      <w:r w:rsidR="005F314E">
        <w:t xml:space="preserve"> </w:t>
      </w:r>
      <w:r>
        <w:t xml:space="preserve">there is a need </w:t>
      </w:r>
      <w:r w:rsidR="005F314E">
        <w:t xml:space="preserve">to </w:t>
      </w:r>
      <w:r>
        <w:t>make existing programm</w:t>
      </w:r>
      <w:r w:rsidR="009B515E">
        <w:t>es</w:t>
      </w:r>
      <w:r>
        <w:t xml:space="preserve"> that benefit adolescents and youth more visible, </w:t>
      </w:r>
      <w:r w:rsidR="005F314E">
        <w:t>ensure that the specific vulnerabilities of adolescents and youth are more systematically addressed</w:t>
      </w:r>
      <w:r>
        <w:t xml:space="preserve"> in these various sectors and support the more effective engagement of adolescents and youth in the response</w:t>
      </w:r>
      <w:r w:rsidR="005F314E">
        <w:t xml:space="preserve">. </w:t>
      </w:r>
      <w:r>
        <w:t xml:space="preserve">This guidance note outlines both </w:t>
      </w:r>
      <w:r w:rsidR="006D69C6">
        <w:t xml:space="preserve">how </w:t>
      </w:r>
      <w:r>
        <w:t xml:space="preserve">the 3RP can further support opportunities for adolescent and youth engagement, and how sectors can more effectively identify and address the needs of adolescents and youth.  </w:t>
      </w:r>
    </w:p>
    <w:p w14:paraId="1CB84EF4" w14:textId="5BD27DD8" w:rsidR="00832AD2" w:rsidRPr="00AD7235" w:rsidRDefault="00832AD2" w:rsidP="001A57A8">
      <w:pPr>
        <w:tabs>
          <w:tab w:val="left" w:pos="2760"/>
        </w:tabs>
        <w:spacing w:after="0" w:line="276" w:lineRule="auto"/>
        <w:jc w:val="lowKashida"/>
      </w:pPr>
    </w:p>
    <w:p w14:paraId="65B9B0D1" w14:textId="2A5393FF" w:rsidR="000E3B1B" w:rsidRPr="00D850F0" w:rsidRDefault="000E3B1B" w:rsidP="00D850F0">
      <w:pPr>
        <w:pStyle w:val="Heading1"/>
        <w:numPr>
          <w:ilvl w:val="0"/>
          <w:numId w:val="0"/>
        </w:numPr>
        <w:spacing w:after="120"/>
        <w:rPr>
          <w:color w:val="3B6B27"/>
          <w:sz w:val="28"/>
          <w:szCs w:val="22"/>
        </w:rPr>
      </w:pPr>
      <w:r w:rsidRPr="00D850F0">
        <w:rPr>
          <w:color w:val="3B6B27"/>
          <w:sz w:val="28"/>
          <w:szCs w:val="22"/>
        </w:rPr>
        <w:t xml:space="preserve">How can the 3RP </w:t>
      </w:r>
      <w:r w:rsidR="0020482B" w:rsidRPr="00D850F0">
        <w:rPr>
          <w:color w:val="3B6B27"/>
          <w:sz w:val="28"/>
          <w:szCs w:val="22"/>
        </w:rPr>
        <w:t>provide</w:t>
      </w:r>
      <w:r w:rsidRPr="00D850F0">
        <w:rPr>
          <w:color w:val="3B6B27"/>
          <w:sz w:val="28"/>
          <w:szCs w:val="22"/>
        </w:rPr>
        <w:t xml:space="preserve"> adolescents and yo</w:t>
      </w:r>
      <w:r w:rsidR="00D850F0" w:rsidRPr="00D850F0">
        <w:rPr>
          <w:color w:val="3B6B27"/>
          <w:sz w:val="28"/>
          <w:szCs w:val="22"/>
        </w:rPr>
        <w:t xml:space="preserve">uth with more opportunities for </w:t>
      </w:r>
      <w:r w:rsidRPr="00D850F0">
        <w:rPr>
          <w:color w:val="3B6B27"/>
          <w:sz w:val="28"/>
          <w:szCs w:val="22"/>
        </w:rPr>
        <w:t xml:space="preserve">positive engagement? </w:t>
      </w:r>
    </w:p>
    <w:p w14:paraId="1FC13B63" w14:textId="5C3A029C" w:rsidR="000E3B1B" w:rsidRPr="00436430" w:rsidRDefault="000E3B1B" w:rsidP="00AD7235">
      <w:pPr>
        <w:pStyle w:val="NoSpacing"/>
        <w:spacing w:after="120"/>
        <w:jc w:val="lowKashida"/>
        <w:rPr>
          <w:rFonts w:asciiTheme="minorHAnsi" w:eastAsiaTheme="minorHAnsi" w:hAnsiTheme="minorHAnsi" w:cstheme="minorBidi"/>
        </w:rPr>
      </w:pPr>
      <w:r w:rsidRPr="00A01790">
        <w:rPr>
          <w:rFonts w:asciiTheme="minorHAnsi" w:eastAsiaTheme="minorHAnsi" w:hAnsiTheme="minorHAnsi" w:cstheme="minorBidi"/>
        </w:rPr>
        <w:t xml:space="preserve">Successful </w:t>
      </w:r>
      <w:r w:rsidR="00436430" w:rsidRPr="00A01790">
        <w:rPr>
          <w:rFonts w:asciiTheme="minorHAnsi" w:eastAsiaTheme="minorHAnsi" w:hAnsiTheme="minorHAnsi" w:cstheme="minorBidi"/>
        </w:rPr>
        <w:t>positive</w:t>
      </w:r>
      <w:r w:rsidRPr="00A01790">
        <w:rPr>
          <w:rFonts w:asciiTheme="minorHAnsi" w:eastAsiaTheme="minorHAnsi" w:hAnsiTheme="minorHAnsi" w:cstheme="minorBidi"/>
        </w:rPr>
        <w:t xml:space="preserve"> engagement programmes targeting adolescents and youth </w:t>
      </w:r>
      <w:r w:rsidR="00361642" w:rsidRPr="00A01790">
        <w:rPr>
          <w:rFonts w:asciiTheme="minorHAnsi" w:eastAsiaTheme="minorHAnsi" w:hAnsiTheme="minorHAnsi" w:cstheme="minorBidi"/>
        </w:rPr>
        <w:t xml:space="preserve">can </w:t>
      </w:r>
      <w:r w:rsidR="00436430" w:rsidRPr="00A01790">
        <w:rPr>
          <w:rFonts w:asciiTheme="minorHAnsi" w:eastAsiaTheme="minorHAnsi" w:hAnsiTheme="minorHAnsi" w:cstheme="minorBidi"/>
        </w:rPr>
        <w:t>enable these young</w:t>
      </w:r>
      <w:r w:rsidR="00863ECE">
        <w:rPr>
          <w:rFonts w:asciiTheme="minorHAnsi" w:eastAsiaTheme="minorHAnsi" w:hAnsiTheme="minorHAnsi" w:cstheme="minorBidi"/>
        </w:rPr>
        <w:t xml:space="preserve"> </w:t>
      </w:r>
      <w:r w:rsidR="00436430" w:rsidRPr="00A01790">
        <w:rPr>
          <w:rFonts w:asciiTheme="minorHAnsi" w:eastAsiaTheme="minorHAnsi" w:hAnsiTheme="minorHAnsi" w:cstheme="minorBidi"/>
        </w:rPr>
        <w:t xml:space="preserve">people to </w:t>
      </w:r>
      <w:r w:rsidR="006F3927" w:rsidRPr="00A01790">
        <w:rPr>
          <w:rFonts w:asciiTheme="minorHAnsi" w:eastAsiaTheme="minorHAnsi" w:hAnsiTheme="minorHAnsi" w:cstheme="minorBidi"/>
        </w:rPr>
        <w:t xml:space="preserve">develop self-confidence, to </w:t>
      </w:r>
      <w:r w:rsidR="00436430" w:rsidRPr="00A01790">
        <w:rPr>
          <w:rFonts w:asciiTheme="minorHAnsi" w:eastAsiaTheme="minorHAnsi" w:hAnsiTheme="minorHAnsi" w:cstheme="minorBidi"/>
        </w:rPr>
        <w:t xml:space="preserve">influence decisions at local and national level, </w:t>
      </w:r>
      <w:r w:rsidR="006F3927" w:rsidRPr="00A01790">
        <w:rPr>
          <w:rFonts w:asciiTheme="minorHAnsi" w:eastAsiaTheme="minorHAnsi" w:hAnsiTheme="minorHAnsi" w:cstheme="minorBidi"/>
        </w:rPr>
        <w:t>and</w:t>
      </w:r>
      <w:r w:rsidR="00436430" w:rsidRPr="00A01790">
        <w:rPr>
          <w:rFonts w:asciiTheme="minorHAnsi" w:eastAsiaTheme="minorHAnsi" w:hAnsiTheme="minorHAnsi" w:cstheme="minorBidi"/>
        </w:rPr>
        <w:t xml:space="preserve"> to contribute to </w:t>
      </w:r>
      <w:r w:rsidR="00361642" w:rsidRPr="00A01790">
        <w:rPr>
          <w:rFonts w:asciiTheme="minorHAnsi" w:eastAsiaTheme="minorHAnsi" w:hAnsiTheme="minorHAnsi" w:cstheme="minorBidi"/>
        </w:rPr>
        <w:t xml:space="preserve">addressing the socio-economic challenges in </w:t>
      </w:r>
      <w:r w:rsidR="00436430" w:rsidRPr="00A01790">
        <w:rPr>
          <w:rFonts w:asciiTheme="minorHAnsi" w:eastAsiaTheme="minorHAnsi" w:hAnsiTheme="minorHAnsi" w:cstheme="minorBidi"/>
        </w:rPr>
        <w:t xml:space="preserve">their communities. </w:t>
      </w:r>
      <w:r w:rsidR="009B515E">
        <w:rPr>
          <w:rFonts w:asciiTheme="minorHAnsi" w:eastAsiaTheme="minorHAnsi" w:hAnsiTheme="minorHAnsi" w:cstheme="minorBidi"/>
        </w:rPr>
        <w:t>Country teams are encouraged to scale up p</w:t>
      </w:r>
      <w:r w:rsidR="006D69C6" w:rsidRPr="00A01790">
        <w:rPr>
          <w:rFonts w:asciiTheme="minorHAnsi" w:eastAsiaTheme="minorHAnsi" w:hAnsiTheme="minorHAnsi" w:cstheme="minorBidi"/>
        </w:rPr>
        <w:t>rogrammes with the specific purpose of adolescent and youth engagement</w:t>
      </w:r>
      <w:r w:rsidR="00436430" w:rsidRPr="00A01790">
        <w:rPr>
          <w:rFonts w:asciiTheme="minorHAnsi" w:eastAsiaTheme="minorHAnsi" w:hAnsiTheme="minorHAnsi" w:cstheme="minorBidi"/>
        </w:rPr>
        <w:t xml:space="preserve"> </w:t>
      </w:r>
      <w:r w:rsidR="006D69C6" w:rsidRPr="00A01790">
        <w:rPr>
          <w:rFonts w:asciiTheme="minorHAnsi" w:eastAsiaTheme="minorHAnsi" w:hAnsiTheme="minorHAnsi" w:cstheme="minorBidi"/>
        </w:rPr>
        <w:t>and should be i</w:t>
      </w:r>
      <w:r w:rsidRPr="00A01790">
        <w:rPr>
          <w:rFonts w:asciiTheme="minorHAnsi" w:eastAsiaTheme="minorHAnsi" w:hAnsiTheme="minorHAnsi" w:cstheme="minorBidi"/>
        </w:rPr>
        <w:t>nclude</w:t>
      </w:r>
      <w:r w:rsidR="009B515E">
        <w:rPr>
          <w:rFonts w:asciiTheme="minorHAnsi" w:eastAsiaTheme="minorHAnsi" w:hAnsiTheme="minorHAnsi" w:cstheme="minorBidi"/>
        </w:rPr>
        <w:t xml:space="preserve"> them</w:t>
      </w:r>
      <w:r w:rsidRPr="00A01790">
        <w:rPr>
          <w:rFonts w:asciiTheme="minorHAnsi" w:eastAsiaTheme="minorHAnsi" w:hAnsiTheme="minorHAnsi" w:cstheme="minorBidi"/>
        </w:rPr>
        <w:t xml:space="preserve"> in </w:t>
      </w:r>
      <w:r w:rsidRPr="00A01790">
        <w:rPr>
          <w:rFonts w:asciiTheme="minorHAnsi" w:eastAsiaTheme="minorHAnsi" w:hAnsiTheme="minorHAnsi" w:cstheme="minorBidi"/>
        </w:rPr>
        <w:lastRenderedPageBreak/>
        <w:t>the Social Cohesion</w:t>
      </w:r>
      <w:r w:rsidR="0070385C" w:rsidRPr="00A01790">
        <w:rPr>
          <w:rFonts w:asciiTheme="minorHAnsi" w:eastAsiaTheme="minorHAnsi" w:hAnsiTheme="minorHAnsi" w:cstheme="minorBidi"/>
        </w:rPr>
        <w:t xml:space="preserve">, </w:t>
      </w:r>
      <w:r w:rsidR="00ED6A68" w:rsidRPr="00A01790">
        <w:rPr>
          <w:rFonts w:asciiTheme="minorHAnsi" w:eastAsiaTheme="minorHAnsi" w:hAnsiTheme="minorHAnsi" w:cstheme="minorBidi"/>
        </w:rPr>
        <w:t>Livelihood</w:t>
      </w:r>
      <w:r w:rsidR="0070385C" w:rsidRPr="00A01790">
        <w:rPr>
          <w:rFonts w:asciiTheme="minorHAnsi" w:eastAsiaTheme="minorHAnsi" w:hAnsiTheme="minorHAnsi" w:cstheme="minorBidi"/>
        </w:rPr>
        <w:t>s or Protection</w:t>
      </w:r>
      <w:r w:rsidR="00BB081E" w:rsidRPr="00A01790">
        <w:rPr>
          <w:rFonts w:asciiTheme="minorHAnsi" w:eastAsiaTheme="minorHAnsi" w:hAnsiTheme="minorHAnsi" w:cstheme="minorBidi"/>
        </w:rPr>
        <w:t xml:space="preserve"> </w:t>
      </w:r>
      <w:r w:rsidRPr="00A01790">
        <w:rPr>
          <w:rFonts w:asciiTheme="minorHAnsi" w:eastAsiaTheme="minorHAnsi" w:hAnsiTheme="minorHAnsi" w:cstheme="minorBidi"/>
        </w:rPr>
        <w:t>sector matrix</w:t>
      </w:r>
      <w:r w:rsidR="00436430" w:rsidRPr="00A01790">
        <w:rPr>
          <w:rFonts w:asciiTheme="minorHAnsi" w:eastAsiaTheme="minorHAnsi" w:hAnsiTheme="minorHAnsi" w:cstheme="minorBidi"/>
        </w:rPr>
        <w:t xml:space="preserve"> with appropriate and </w:t>
      </w:r>
      <w:r w:rsidR="00DA4F01" w:rsidRPr="00A01790">
        <w:rPr>
          <w:rFonts w:asciiTheme="minorHAnsi" w:eastAsiaTheme="minorHAnsi" w:hAnsiTheme="minorHAnsi" w:cstheme="minorBidi"/>
        </w:rPr>
        <w:t xml:space="preserve">harmonized targets and </w:t>
      </w:r>
      <w:r w:rsidR="00436430" w:rsidRPr="00A01790">
        <w:rPr>
          <w:rFonts w:asciiTheme="minorHAnsi" w:eastAsiaTheme="minorHAnsi" w:hAnsiTheme="minorHAnsi" w:cstheme="minorBidi"/>
        </w:rPr>
        <w:t>indicators</w:t>
      </w:r>
      <w:r w:rsidR="006E3509" w:rsidRPr="00A01790">
        <w:rPr>
          <w:rFonts w:asciiTheme="minorHAnsi" w:eastAsiaTheme="minorHAnsi" w:hAnsiTheme="minorHAnsi" w:cstheme="minorBidi"/>
        </w:rPr>
        <w:t xml:space="preserve"> (see indicator methodology for adolescent and youth led engagement for Social Cohesion/Livelihood</w:t>
      </w:r>
      <w:r w:rsidR="00A01790" w:rsidRPr="00A01790">
        <w:rPr>
          <w:rFonts w:asciiTheme="minorHAnsi" w:eastAsiaTheme="minorHAnsi" w:hAnsiTheme="minorHAnsi" w:cstheme="minorBidi"/>
        </w:rPr>
        <w:t xml:space="preserve"> and Protection sectors)</w:t>
      </w:r>
      <w:r w:rsidRPr="00A01790">
        <w:rPr>
          <w:rFonts w:asciiTheme="minorHAnsi" w:eastAsiaTheme="minorHAnsi" w:hAnsiTheme="minorHAnsi" w:cstheme="minorBidi"/>
        </w:rPr>
        <w:t xml:space="preserve">. </w:t>
      </w:r>
      <w:r w:rsidR="00436430" w:rsidRPr="00A01790">
        <w:rPr>
          <w:rFonts w:asciiTheme="minorHAnsi" w:eastAsiaTheme="minorHAnsi" w:hAnsiTheme="minorHAnsi" w:cstheme="minorBidi"/>
        </w:rPr>
        <w:t xml:space="preserve">Example activities </w:t>
      </w:r>
      <w:r w:rsidR="009B515E">
        <w:rPr>
          <w:rFonts w:asciiTheme="minorHAnsi" w:eastAsiaTheme="minorHAnsi" w:hAnsiTheme="minorHAnsi" w:cstheme="minorBidi"/>
        </w:rPr>
        <w:t xml:space="preserve">could </w:t>
      </w:r>
      <w:r w:rsidR="00436430" w:rsidRPr="00A01790">
        <w:rPr>
          <w:rFonts w:asciiTheme="minorHAnsi" w:eastAsiaTheme="minorHAnsi" w:hAnsiTheme="minorHAnsi" w:cstheme="minorBidi"/>
        </w:rPr>
        <w:t>include:</w:t>
      </w:r>
      <w:r w:rsidR="00436430" w:rsidRPr="00436430">
        <w:rPr>
          <w:rFonts w:asciiTheme="minorHAnsi" w:eastAsiaTheme="minorHAnsi" w:hAnsiTheme="minorHAnsi" w:cstheme="minorBidi"/>
        </w:rPr>
        <w:t xml:space="preserve">  </w:t>
      </w:r>
    </w:p>
    <w:p w14:paraId="395D898B" w14:textId="22A77248" w:rsidR="00D55283" w:rsidRPr="0070385C" w:rsidRDefault="00D55283" w:rsidP="0070385C">
      <w:pPr>
        <w:pStyle w:val="NoSpacing"/>
        <w:numPr>
          <w:ilvl w:val="0"/>
          <w:numId w:val="53"/>
        </w:numPr>
        <w:spacing w:after="120"/>
        <w:jc w:val="lowKashida"/>
      </w:pPr>
      <w:r>
        <w:t xml:space="preserve">Adolescent and Youth led initiatives </w:t>
      </w:r>
      <w:r w:rsidRPr="0070385C">
        <w:t xml:space="preserve">aimed at </w:t>
      </w:r>
      <w:r w:rsidRPr="00A92938">
        <w:rPr>
          <w:b/>
        </w:rPr>
        <w:t>strengthening the social contract between the young people and the institutions that govern them</w:t>
      </w:r>
      <w:r w:rsidRPr="0070385C">
        <w:t xml:space="preserve"> (i.e. youth-led community service initiatives </w:t>
      </w:r>
      <w:r w:rsidR="00361642">
        <w:t xml:space="preserve">to enhance service delivery </w:t>
      </w:r>
      <w:r w:rsidRPr="0070385C">
        <w:t>such as waste collection and recycling, youth community volunteers on health and nutrition awareness raising, peer-to-peer teaching/learning, improving natural resource management</w:t>
      </w:r>
      <w:r w:rsidR="00ED6A68">
        <w:t>, youth p</w:t>
      </w:r>
      <w:r w:rsidRPr="0070385C">
        <w:t xml:space="preserve">articipation in local, regional and national level decision-making process and accountability mechanisms for governing bodies </w:t>
      </w:r>
      <w:r w:rsidR="00ED6A68">
        <w:t>etc.)</w:t>
      </w:r>
    </w:p>
    <w:p w14:paraId="4FAC5236" w14:textId="5609D830" w:rsidR="00D55283" w:rsidRDefault="00ED6A68" w:rsidP="00D55283">
      <w:pPr>
        <w:pStyle w:val="ListParagraph"/>
        <w:numPr>
          <w:ilvl w:val="0"/>
          <w:numId w:val="53"/>
        </w:numPr>
        <w:jc w:val="both"/>
        <w:rPr>
          <w:rFonts w:ascii="Calibri" w:eastAsia="Calibri" w:hAnsi="Calibri" w:cs="Arial"/>
        </w:rPr>
      </w:pPr>
      <w:r>
        <w:rPr>
          <w:rFonts w:ascii="Calibri" w:eastAsia="Calibri" w:hAnsi="Calibri" w:cs="Arial"/>
        </w:rPr>
        <w:t xml:space="preserve">Adolescent and youth led </w:t>
      </w:r>
      <w:r w:rsidRPr="00A92938">
        <w:rPr>
          <w:rFonts w:ascii="Calibri" w:eastAsia="Calibri" w:hAnsi="Calibri" w:cs="Arial"/>
          <w:b/>
        </w:rPr>
        <w:t>s</w:t>
      </w:r>
      <w:r w:rsidR="00D55283" w:rsidRPr="00A92938">
        <w:rPr>
          <w:rFonts w:ascii="Calibri" w:eastAsia="Calibri" w:hAnsi="Calibri" w:cs="Arial"/>
          <w:b/>
        </w:rPr>
        <w:t xml:space="preserve">ocial cohesion </w:t>
      </w:r>
      <w:r w:rsidRPr="00A92938">
        <w:rPr>
          <w:rFonts w:ascii="Calibri" w:eastAsia="Calibri" w:hAnsi="Calibri" w:cs="Arial"/>
          <w:b/>
        </w:rPr>
        <w:t>i</w:t>
      </w:r>
      <w:r w:rsidR="00D55283" w:rsidRPr="00A92938">
        <w:rPr>
          <w:rFonts w:ascii="Calibri" w:eastAsia="Calibri" w:hAnsi="Calibri" w:cs="Arial"/>
          <w:b/>
        </w:rPr>
        <w:t>nitiatives designed to promote peace and harmony</w:t>
      </w:r>
      <w:r w:rsidR="00D55283" w:rsidRPr="0070385C">
        <w:rPr>
          <w:rFonts w:ascii="Calibri" w:eastAsia="Calibri" w:hAnsi="Calibri" w:cs="Arial"/>
        </w:rPr>
        <w:t xml:space="preserve">, community initiatives facilitating dialogue, </w:t>
      </w:r>
      <w:r w:rsidR="00BB081E">
        <w:rPr>
          <w:rFonts w:ascii="Calibri" w:eastAsia="Calibri" w:hAnsi="Calibri" w:cs="Arial"/>
        </w:rPr>
        <w:t xml:space="preserve">involving </w:t>
      </w:r>
      <w:r w:rsidR="00D55283" w:rsidRPr="0070385C">
        <w:rPr>
          <w:rFonts w:ascii="Calibri" w:eastAsia="Calibri" w:hAnsi="Calibri" w:cs="Arial"/>
        </w:rPr>
        <w:t xml:space="preserve">youth in mediation and conflict mitigation at community level </w:t>
      </w:r>
      <w:r w:rsidR="00361642">
        <w:rPr>
          <w:rFonts w:ascii="Calibri" w:eastAsia="Calibri" w:hAnsi="Calibri" w:cs="Arial"/>
        </w:rPr>
        <w:t>and enhancing related capacities</w:t>
      </w:r>
      <w:r w:rsidR="00D55283" w:rsidRPr="0070385C">
        <w:rPr>
          <w:rFonts w:ascii="Calibri" w:eastAsia="Calibri" w:hAnsi="Calibri" w:cs="Arial"/>
        </w:rPr>
        <w:t>.</w:t>
      </w:r>
    </w:p>
    <w:p w14:paraId="00A94AE7" w14:textId="13FF0AD9" w:rsidR="005447DF" w:rsidRPr="005447DF" w:rsidRDefault="00A92938" w:rsidP="005447DF">
      <w:pPr>
        <w:pStyle w:val="NoSpacing"/>
        <w:numPr>
          <w:ilvl w:val="0"/>
          <w:numId w:val="53"/>
        </w:numPr>
        <w:spacing w:after="120"/>
        <w:jc w:val="lowKashida"/>
      </w:pPr>
      <w:r w:rsidRPr="00AD7235">
        <w:rPr>
          <w:rFonts w:asciiTheme="minorHAnsi" w:hAnsiTheme="minorHAnsi"/>
        </w:rPr>
        <w:t xml:space="preserve">Supporting adolescent and youth-led initiatives </w:t>
      </w:r>
      <w:r>
        <w:rPr>
          <w:rFonts w:asciiTheme="minorHAnsi" w:hAnsiTheme="minorHAnsi"/>
        </w:rPr>
        <w:t>in the field of civic engagement</w:t>
      </w:r>
      <w:r w:rsidRPr="00AD7235">
        <w:rPr>
          <w:rFonts w:asciiTheme="minorHAnsi" w:hAnsiTheme="minorHAnsi"/>
        </w:rPr>
        <w:t xml:space="preserve"> which </w:t>
      </w:r>
      <w:r w:rsidRPr="00A92938">
        <w:rPr>
          <w:rFonts w:asciiTheme="minorHAnsi" w:hAnsiTheme="minorHAnsi"/>
          <w:b/>
        </w:rPr>
        <w:t>identify issues</w:t>
      </w:r>
      <w:r>
        <w:rPr>
          <w:rFonts w:asciiTheme="minorHAnsi" w:hAnsiTheme="minorHAnsi"/>
          <w:b/>
        </w:rPr>
        <w:t xml:space="preserve"> affecting</w:t>
      </w:r>
      <w:r w:rsidRPr="00A92938">
        <w:rPr>
          <w:rFonts w:asciiTheme="minorHAnsi" w:hAnsiTheme="minorHAnsi"/>
          <w:b/>
        </w:rPr>
        <w:t xml:space="preserve"> communities’ wellbeing and define and implement activities that address these issues</w:t>
      </w:r>
      <w:r w:rsidRPr="00AD7235">
        <w:rPr>
          <w:rFonts w:asciiTheme="minorHAnsi" w:hAnsiTheme="minorHAnsi"/>
        </w:rPr>
        <w:t xml:space="preserve">. Support can be provided in the form of </w:t>
      </w:r>
      <w:r>
        <w:rPr>
          <w:rFonts w:asciiTheme="minorHAnsi" w:hAnsiTheme="minorHAnsi"/>
        </w:rPr>
        <w:t>seed funding</w:t>
      </w:r>
      <w:r w:rsidR="006D69C6">
        <w:rPr>
          <w:rFonts w:asciiTheme="minorHAnsi" w:hAnsiTheme="minorHAnsi"/>
        </w:rPr>
        <w:t>, capacity building and access to decision makers</w:t>
      </w:r>
      <w:r>
        <w:rPr>
          <w:rFonts w:asciiTheme="minorHAnsi" w:hAnsiTheme="minorHAnsi"/>
        </w:rPr>
        <w:t xml:space="preserve">. </w:t>
      </w:r>
      <w:r w:rsidR="005447DF">
        <w:rPr>
          <w:rFonts w:asciiTheme="minorHAnsi" w:hAnsiTheme="minorHAnsi"/>
        </w:rPr>
        <w:t xml:space="preserve">This can also include adolescent and youth led initiatives to address protection issues.  </w:t>
      </w:r>
    </w:p>
    <w:p w14:paraId="2382E6DA" w14:textId="7F155F3C" w:rsidR="00436430" w:rsidRDefault="00436430" w:rsidP="00AD7235">
      <w:pPr>
        <w:pStyle w:val="NoSpacing"/>
        <w:numPr>
          <w:ilvl w:val="0"/>
          <w:numId w:val="53"/>
        </w:numPr>
        <w:spacing w:after="120"/>
        <w:jc w:val="lowKashida"/>
      </w:pPr>
      <w:r w:rsidRPr="00AD7235">
        <w:t>E</w:t>
      </w:r>
      <w:r w:rsidRPr="00436430">
        <w:t>stablishing and reinforcing existing mechanisms and safe spaces</w:t>
      </w:r>
      <w:r>
        <w:t>, including through social media,</w:t>
      </w:r>
      <w:r w:rsidR="00A92938">
        <w:t xml:space="preserve"> for networking, </w:t>
      </w:r>
      <w:r w:rsidRPr="00436430">
        <w:t>mentorship</w:t>
      </w:r>
      <w:r w:rsidR="00A92938">
        <w:t xml:space="preserve"> and research</w:t>
      </w:r>
      <w:r w:rsidRPr="00436430">
        <w:t xml:space="preserve"> opportunities. </w:t>
      </w:r>
      <w:r w:rsidR="00A92938">
        <w:t xml:space="preserve">This also includes </w:t>
      </w:r>
      <w:r>
        <w:t xml:space="preserve">facilitating </w:t>
      </w:r>
      <w:r w:rsidRPr="00AD7235">
        <w:t>connec</w:t>
      </w:r>
      <w:r w:rsidRPr="00436430">
        <w:t>tions so that young people can</w:t>
      </w:r>
      <w:r w:rsidRPr="00AD7235">
        <w:t xml:space="preserve"> </w:t>
      </w:r>
      <w:r w:rsidRPr="00436430">
        <w:t>express the</w:t>
      </w:r>
      <w:r w:rsidR="00A92938">
        <w:t>ir needs, hopes and aspirations</w:t>
      </w:r>
      <w:r w:rsidRPr="00436430">
        <w:t xml:space="preserve">. It also includes facilitating opportunities for adolescents and youth to </w:t>
      </w:r>
      <w:r w:rsidRPr="00AD7235">
        <w:t xml:space="preserve">serve as </w:t>
      </w:r>
      <w:r w:rsidRPr="00436430">
        <w:t xml:space="preserve">thought leaders and </w:t>
      </w:r>
      <w:r w:rsidRPr="00AD7235">
        <w:t xml:space="preserve">conveners </w:t>
      </w:r>
      <w:r w:rsidRPr="00436430">
        <w:t>themselves</w:t>
      </w:r>
      <w:r w:rsidR="0096009C">
        <w:t xml:space="preserve"> (e.g. youth parliaments and local councils)</w:t>
      </w:r>
      <w:r w:rsidR="00A92938">
        <w:t>.</w:t>
      </w:r>
    </w:p>
    <w:p w14:paraId="72050572" w14:textId="1F0A35DA" w:rsidR="006E3509" w:rsidRPr="008E2444" w:rsidRDefault="006E3509">
      <w:pPr>
        <w:pStyle w:val="NoSpacing"/>
        <w:numPr>
          <w:ilvl w:val="0"/>
          <w:numId w:val="53"/>
        </w:numPr>
        <w:spacing w:after="120"/>
        <w:jc w:val="lowKashida"/>
      </w:pPr>
      <w:r w:rsidRPr="00D57017">
        <w:rPr>
          <w:b/>
        </w:rPr>
        <w:t>Entrepreneurship/self-employment initiatives led</w:t>
      </w:r>
      <w:r w:rsidR="008D0B5C">
        <w:rPr>
          <w:b/>
        </w:rPr>
        <w:t xml:space="preserve"> by</w:t>
      </w:r>
      <w:r w:rsidRPr="00D57017">
        <w:rPr>
          <w:b/>
        </w:rPr>
        <w:t xml:space="preserve"> or involving young people</w:t>
      </w:r>
      <w:r w:rsidRPr="00D57017">
        <w:t xml:space="preserve"> providing young people with opportunities to develop economically viable and environmentally sustainable ideas through entrepreneurship development/self-employment programmes that can create value for them as individuals, their peers and their communities, including the displaced population. </w:t>
      </w:r>
    </w:p>
    <w:p w14:paraId="6FDF0D7D" w14:textId="664ADFEB" w:rsidR="000E3B1B" w:rsidRDefault="008E2444" w:rsidP="00AD7235">
      <w:pPr>
        <w:pStyle w:val="NoSpacing"/>
        <w:spacing w:after="120"/>
        <w:jc w:val="lowKashida"/>
        <w:rPr>
          <w:rFonts w:asciiTheme="minorHAnsi" w:eastAsiaTheme="minorHAnsi" w:hAnsiTheme="minorHAnsi" w:cstheme="minorBidi"/>
        </w:rPr>
      </w:pPr>
      <w:r>
        <w:rPr>
          <w:rFonts w:asciiTheme="minorHAnsi" w:eastAsiaTheme="minorHAnsi" w:hAnsiTheme="minorHAnsi" w:cstheme="minorBidi"/>
        </w:rPr>
        <w:t>In addition</w:t>
      </w:r>
      <w:r w:rsidR="00436430" w:rsidRPr="0070385C">
        <w:rPr>
          <w:rFonts w:asciiTheme="minorHAnsi" w:eastAsiaTheme="minorHAnsi" w:hAnsiTheme="minorHAnsi" w:cstheme="minorBidi"/>
        </w:rPr>
        <w:t>, all sectors can provide positive engagement opportunities by ensuring</w:t>
      </w:r>
      <w:r w:rsidR="000E3B1B" w:rsidRPr="0070385C">
        <w:rPr>
          <w:rFonts w:asciiTheme="minorHAnsi" w:eastAsiaTheme="minorHAnsi" w:hAnsiTheme="minorHAnsi" w:cstheme="minorBidi"/>
        </w:rPr>
        <w:t xml:space="preserve"> meaningful adolescents and youth participation in the assessment, planning, im</w:t>
      </w:r>
      <w:r w:rsidR="00436430" w:rsidRPr="0070385C">
        <w:rPr>
          <w:rFonts w:asciiTheme="minorHAnsi" w:eastAsiaTheme="minorHAnsi" w:hAnsiTheme="minorHAnsi" w:cstheme="minorBidi"/>
        </w:rPr>
        <w:t>plementing and monitoring of the sector</w:t>
      </w:r>
      <w:r w:rsidR="000E3B1B" w:rsidRPr="0070385C">
        <w:rPr>
          <w:rFonts w:asciiTheme="minorHAnsi" w:eastAsiaTheme="minorHAnsi" w:hAnsiTheme="minorHAnsi" w:cstheme="minorBidi"/>
        </w:rPr>
        <w:t xml:space="preserve"> response. Adolescents</w:t>
      </w:r>
      <w:r w:rsidR="000E3B1B" w:rsidRPr="00436430">
        <w:rPr>
          <w:rFonts w:asciiTheme="minorHAnsi" w:eastAsiaTheme="minorHAnsi" w:hAnsiTheme="minorHAnsi" w:cstheme="minorBidi"/>
        </w:rPr>
        <w:t xml:space="preserve"> and youth may be involved in conducting assessments, research and analysis; developing programme methodologies and plans; </w:t>
      </w:r>
      <w:r w:rsidR="00AF228E">
        <w:rPr>
          <w:rFonts w:asciiTheme="minorHAnsi" w:eastAsiaTheme="minorHAnsi" w:hAnsiTheme="minorHAnsi" w:cstheme="minorBidi"/>
        </w:rPr>
        <w:t xml:space="preserve">carrying out peer-to-peer awareness campaigns; </w:t>
      </w:r>
      <w:r w:rsidR="000E3B1B" w:rsidRPr="00436430">
        <w:rPr>
          <w:rFonts w:asciiTheme="minorHAnsi" w:eastAsiaTheme="minorHAnsi" w:hAnsiTheme="minorHAnsi" w:cstheme="minorBidi"/>
        </w:rPr>
        <w:t xml:space="preserve">implementing programmes; monitoring results, evaluating outcomes and advocating for change. </w:t>
      </w:r>
      <w:r w:rsidR="00436430">
        <w:rPr>
          <w:rFonts w:asciiTheme="minorHAnsi" w:eastAsiaTheme="minorHAnsi" w:hAnsiTheme="minorHAnsi" w:cstheme="minorBidi"/>
        </w:rPr>
        <w:t xml:space="preserve">Where appropriate, sectors can include one indicator to measure the extent to which the sector provides these opportunities for adolescent and youth </w:t>
      </w:r>
      <w:r w:rsidR="002C5A29">
        <w:rPr>
          <w:rFonts w:asciiTheme="minorHAnsi" w:eastAsiaTheme="minorHAnsi" w:hAnsiTheme="minorHAnsi" w:cstheme="minorBidi"/>
        </w:rPr>
        <w:t>participation</w:t>
      </w:r>
      <w:r w:rsidR="00436430">
        <w:rPr>
          <w:rFonts w:asciiTheme="minorHAnsi" w:eastAsiaTheme="minorHAnsi" w:hAnsiTheme="minorHAnsi" w:cstheme="minorBidi"/>
        </w:rPr>
        <w:t xml:space="preserve">. </w:t>
      </w:r>
      <w:r w:rsidR="009B515E">
        <w:rPr>
          <w:rFonts w:asciiTheme="minorHAnsi" w:eastAsiaTheme="minorHAnsi" w:hAnsiTheme="minorHAnsi" w:cstheme="minorBidi"/>
        </w:rPr>
        <w:t>A sample indicator is attached to this Guidance Note as Annex 1.</w:t>
      </w:r>
    </w:p>
    <w:p w14:paraId="5B155B83" w14:textId="77777777" w:rsidR="00436430" w:rsidRPr="00436430" w:rsidRDefault="00436430" w:rsidP="00AD7235">
      <w:pPr>
        <w:pStyle w:val="NoSpacing"/>
        <w:spacing w:after="120"/>
        <w:jc w:val="lowKashida"/>
        <w:rPr>
          <w:rFonts w:asciiTheme="minorHAnsi" w:eastAsiaTheme="minorHAnsi" w:hAnsiTheme="minorHAnsi" w:cstheme="minorBidi"/>
        </w:rPr>
      </w:pPr>
    </w:p>
    <w:p w14:paraId="5D648808" w14:textId="26547B9F" w:rsidR="00D61449" w:rsidRPr="00D850F0" w:rsidRDefault="000E3B1B" w:rsidP="00434AE2">
      <w:pPr>
        <w:pStyle w:val="Heading1"/>
        <w:numPr>
          <w:ilvl w:val="0"/>
          <w:numId w:val="0"/>
        </w:numPr>
        <w:spacing w:after="120"/>
        <w:rPr>
          <w:color w:val="3B6B27"/>
          <w:sz w:val="28"/>
          <w:szCs w:val="22"/>
        </w:rPr>
      </w:pPr>
      <w:r w:rsidRPr="00D850F0">
        <w:rPr>
          <w:color w:val="3B6B27"/>
          <w:sz w:val="28"/>
          <w:szCs w:val="22"/>
        </w:rPr>
        <w:t>Reaching adolescents a</w:t>
      </w:r>
      <w:r w:rsidR="0073114A" w:rsidRPr="00D850F0">
        <w:rPr>
          <w:color w:val="3B6B27"/>
          <w:sz w:val="28"/>
          <w:szCs w:val="22"/>
        </w:rPr>
        <w:t>nd youth via sector programming</w:t>
      </w:r>
      <w:r w:rsidR="00D61449" w:rsidRPr="00D850F0">
        <w:rPr>
          <w:color w:val="3B6B27"/>
          <w:sz w:val="28"/>
          <w:szCs w:val="22"/>
        </w:rPr>
        <w:t>:</w:t>
      </w:r>
    </w:p>
    <w:p w14:paraId="74C373C5" w14:textId="617D2A03" w:rsidR="000E3B1B" w:rsidRPr="00436430" w:rsidRDefault="000E3B1B" w:rsidP="000E3B1B">
      <w:pPr>
        <w:tabs>
          <w:tab w:val="left" w:pos="2760"/>
        </w:tabs>
        <w:spacing w:after="120" w:line="276" w:lineRule="auto"/>
        <w:jc w:val="lowKashida"/>
      </w:pPr>
      <w:r w:rsidRPr="00436430">
        <w:t xml:space="preserve">A separate issue from that of positive engagement outlined above, is the extent to which all sectors in the 3RP reach adolescents and youth through their programming – in other words the delivery of </w:t>
      </w:r>
      <w:r w:rsidR="000921DE">
        <w:t>protection and assistance</w:t>
      </w:r>
      <w:r w:rsidR="000921DE" w:rsidRPr="00436430">
        <w:t xml:space="preserve"> </w:t>
      </w:r>
      <w:r w:rsidRPr="00436430">
        <w:t xml:space="preserve">to this group. </w:t>
      </w:r>
    </w:p>
    <w:p w14:paraId="093D36BE" w14:textId="77777777" w:rsidR="000E3B1B" w:rsidRPr="00436430" w:rsidRDefault="000E3B1B" w:rsidP="000E3B1B">
      <w:pPr>
        <w:tabs>
          <w:tab w:val="left" w:pos="2760"/>
        </w:tabs>
        <w:spacing w:after="120" w:line="276" w:lineRule="auto"/>
        <w:jc w:val="lowKashida"/>
      </w:pPr>
      <w:r w:rsidRPr="00436430">
        <w:t>In some sectors the number of adolescents and youth reached is not known because of lack of disaggregation, and in some cases adjustments may be required to programmes to ensure that the needs of this group are adequately identified and met. Increasing visibility of adolescents and youth will enable sectors to identify the full extent of adolescents and youth in need in their respective sector, the funding required for quality adolescent and youth interventions, advocate for this funding, track the funding gap and ensure coverage of this critical cohort.</w:t>
      </w:r>
    </w:p>
    <w:p w14:paraId="0C69D957" w14:textId="083F6290" w:rsidR="00D61449" w:rsidRPr="00AD7235" w:rsidRDefault="000E3B1B" w:rsidP="00D61449">
      <w:r w:rsidRPr="00436430">
        <w:lastRenderedPageBreak/>
        <w:t>In order to ensure that the needs of adolescents and youth are better addressed in the 3RP, country plans should</w:t>
      </w:r>
      <w:r w:rsidR="009B515E">
        <w:t>, as noted in the relevant sections of the Country/Sector narrative template (Template A)</w:t>
      </w:r>
      <w:r w:rsidRPr="00436430">
        <w:t xml:space="preserve">: </w:t>
      </w:r>
    </w:p>
    <w:p w14:paraId="53C38890" w14:textId="38B52010" w:rsidR="00D61449" w:rsidRPr="00436430" w:rsidRDefault="00D61449" w:rsidP="00D61449">
      <w:pPr>
        <w:pStyle w:val="NoSpacing"/>
        <w:numPr>
          <w:ilvl w:val="0"/>
          <w:numId w:val="48"/>
        </w:numPr>
        <w:spacing w:after="120"/>
        <w:jc w:val="lowKashida"/>
        <w:rPr>
          <w:rFonts w:asciiTheme="minorHAnsi" w:eastAsiaTheme="minorHAnsi" w:hAnsiTheme="minorHAnsi" w:cstheme="minorBidi"/>
        </w:rPr>
      </w:pPr>
      <w:r w:rsidRPr="00436430">
        <w:rPr>
          <w:rFonts w:asciiTheme="minorHAnsi" w:eastAsiaTheme="minorHAnsi" w:hAnsiTheme="minorHAnsi" w:cstheme="minorBidi"/>
        </w:rPr>
        <w:t>Identify adolescent and youth target</w:t>
      </w:r>
      <w:r w:rsidR="00AF228E">
        <w:rPr>
          <w:rFonts w:asciiTheme="minorHAnsi" w:eastAsiaTheme="minorHAnsi" w:hAnsiTheme="minorHAnsi" w:cstheme="minorBidi"/>
        </w:rPr>
        <w:t>ed</w:t>
      </w:r>
      <w:r w:rsidRPr="00436430">
        <w:rPr>
          <w:rFonts w:asciiTheme="minorHAnsi" w:eastAsiaTheme="minorHAnsi" w:hAnsiTheme="minorHAnsi" w:cstheme="minorBidi"/>
        </w:rPr>
        <w:t xml:space="preserve"> within overall population in need</w:t>
      </w:r>
    </w:p>
    <w:p w14:paraId="0F5AF1BA" w14:textId="4E702C12" w:rsidR="00D61449" w:rsidRPr="00436430" w:rsidRDefault="00D61449" w:rsidP="005F314E">
      <w:pPr>
        <w:pStyle w:val="NoSpacing"/>
        <w:spacing w:after="120"/>
        <w:jc w:val="lowKashida"/>
        <w:rPr>
          <w:rFonts w:asciiTheme="minorHAnsi" w:eastAsiaTheme="minorHAnsi" w:hAnsiTheme="minorHAnsi" w:cstheme="minorBidi"/>
        </w:rPr>
      </w:pPr>
      <w:r w:rsidRPr="00436430">
        <w:t>Country plans should identify the overall numbers of adolescents and yo</w:t>
      </w:r>
      <w:r w:rsidR="005F314E">
        <w:t xml:space="preserve">uth in their population in need, further disaggregating within this group as feasible and appropriate in the country context. </w:t>
      </w:r>
    </w:p>
    <w:p w14:paraId="2EF83840" w14:textId="7F1624A2" w:rsidR="00D61449" w:rsidRPr="00436430" w:rsidRDefault="00D61449" w:rsidP="00D61449">
      <w:pPr>
        <w:pStyle w:val="NoSpacing"/>
        <w:numPr>
          <w:ilvl w:val="0"/>
          <w:numId w:val="48"/>
        </w:numPr>
        <w:spacing w:after="120"/>
        <w:jc w:val="lowKashida"/>
        <w:rPr>
          <w:rFonts w:asciiTheme="minorHAnsi" w:eastAsiaTheme="minorHAnsi" w:hAnsiTheme="minorHAnsi" w:cstheme="minorBidi"/>
        </w:rPr>
      </w:pPr>
      <w:r w:rsidRPr="00436430">
        <w:rPr>
          <w:rFonts w:asciiTheme="minorHAnsi" w:eastAsiaTheme="minorHAnsi" w:hAnsiTheme="minorHAnsi" w:cstheme="minorBidi"/>
        </w:rPr>
        <w:t xml:space="preserve">Clearly articulate the </w:t>
      </w:r>
      <w:r w:rsidR="00AF228E">
        <w:rPr>
          <w:rFonts w:asciiTheme="minorHAnsi" w:eastAsiaTheme="minorHAnsi" w:hAnsiTheme="minorHAnsi" w:cstheme="minorBidi"/>
        </w:rPr>
        <w:t xml:space="preserve">specific </w:t>
      </w:r>
      <w:r w:rsidRPr="00436430">
        <w:rPr>
          <w:rFonts w:asciiTheme="minorHAnsi" w:eastAsiaTheme="minorHAnsi" w:hAnsiTheme="minorHAnsi" w:cstheme="minorBidi"/>
        </w:rPr>
        <w:t xml:space="preserve">needs of adolescents and youth </w:t>
      </w:r>
    </w:p>
    <w:p w14:paraId="0392B443" w14:textId="2F795992" w:rsidR="00D61449" w:rsidRPr="00436430" w:rsidRDefault="00D61449" w:rsidP="005F314E">
      <w:pPr>
        <w:pStyle w:val="NoSpacing"/>
        <w:spacing w:after="120"/>
        <w:jc w:val="lowKashida"/>
        <w:rPr>
          <w:rFonts w:asciiTheme="minorHAnsi" w:eastAsiaTheme="minorHAnsi" w:hAnsiTheme="minorHAnsi" w:cstheme="minorBidi"/>
        </w:rPr>
      </w:pPr>
      <w:r w:rsidRPr="00436430">
        <w:rPr>
          <w:rFonts w:asciiTheme="minorHAnsi" w:eastAsiaTheme="minorHAnsi" w:hAnsiTheme="minorHAnsi" w:cstheme="minorBidi"/>
        </w:rPr>
        <w:t>Country plans should briefly articulate the key needs of adolescents and youth in the country overview</w:t>
      </w:r>
      <w:r w:rsidR="005F314E">
        <w:rPr>
          <w:rFonts w:asciiTheme="minorHAnsi" w:eastAsiaTheme="minorHAnsi" w:hAnsiTheme="minorHAnsi" w:cstheme="minorBidi"/>
        </w:rPr>
        <w:t>, giving due attention to the very different needs of girls and boys of different ages within this group</w:t>
      </w:r>
      <w:r w:rsidRPr="00436430">
        <w:rPr>
          <w:rFonts w:asciiTheme="minorHAnsi" w:eastAsiaTheme="minorHAnsi" w:hAnsiTheme="minorHAnsi" w:cstheme="minorBidi"/>
        </w:rPr>
        <w:t xml:space="preserve">.  Key sectors including protection, education, livelihoods/social cohesion, and health </w:t>
      </w:r>
      <w:r w:rsidR="00B039DA">
        <w:rPr>
          <w:rFonts w:asciiTheme="minorHAnsi" w:eastAsiaTheme="minorHAnsi" w:hAnsiTheme="minorHAnsi" w:cstheme="minorBidi"/>
        </w:rPr>
        <w:t>should ensure that</w:t>
      </w:r>
      <w:r w:rsidRPr="00436430">
        <w:rPr>
          <w:rFonts w:asciiTheme="minorHAnsi" w:eastAsiaTheme="minorHAnsi" w:hAnsiTheme="minorHAnsi" w:cstheme="minorBidi"/>
        </w:rPr>
        <w:t xml:space="preserve"> the specific needs of adolescents and youth </w:t>
      </w:r>
      <w:r w:rsidR="00B039DA">
        <w:rPr>
          <w:rFonts w:asciiTheme="minorHAnsi" w:eastAsiaTheme="minorHAnsi" w:hAnsiTheme="minorHAnsi" w:cstheme="minorBidi"/>
        </w:rPr>
        <w:t>are addressed in</w:t>
      </w:r>
      <w:r w:rsidRPr="00436430">
        <w:rPr>
          <w:rFonts w:asciiTheme="minorHAnsi" w:eastAsiaTheme="minorHAnsi" w:hAnsiTheme="minorHAnsi" w:cstheme="minorBidi"/>
        </w:rPr>
        <w:t xml:space="preserve"> their needs assessment</w:t>
      </w:r>
      <w:r w:rsidR="00B039DA">
        <w:rPr>
          <w:rFonts w:asciiTheme="minorHAnsi" w:eastAsiaTheme="minorHAnsi" w:hAnsiTheme="minorHAnsi" w:cstheme="minorBidi"/>
        </w:rPr>
        <w:t xml:space="preserve"> as appropriate</w:t>
      </w:r>
      <w:r w:rsidRPr="00436430">
        <w:rPr>
          <w:rFonts w:asciiTheme="minorHAnsi" w:eastAsiaTheme="minorHAnsi" w:hAnsiTheme="minorHAnsi" w:cstheme="minorBidi"/>
        </w:rPr>
        <w:t xml:space="preserve">.  </w:t>
      </w:r>
    </w:p>
    <w:p w14:paraId="3D3C6D54" w14:textId="77777777" w:rsidR="00D61449" w:rsidRPr="00436430" w:rsidRDefault="00D61449" w:rsidP="00D61449">
      <w:pPr>
        <w:pStyle w:val="NoSpacing"/>
        <w:numPr>
          <w:ilvl w:val="0"/>
          <w:numId w:val="48"/>
        </w:numPr>
        <w:spacing w:after="120"/>
        <w:jc w:val="lowKashida"/>
        <w:rPr>
          <w:rFonts w:asciiTheme="minorHAnsi" w:eastAsiaTheme="minorHAnsi" w:hAnsiTheme="minorHAnsi" w:cstheme="minorBidi"/>
        </w:rPr>
      </w:pPr>
      <w:r w:rsidRPr="00436430">
        <w:rPr>
          <w:rFonts w:asciiTheme="minorHAnsi" w:eastAsiaTheme="minorHAnsi" w:hAnsiTheme="minorHAnsi" w:cstheme="minorBidi"/>
        </w:rPr>
        <w:t xml:space="preserve">Ensure quality interventions </w:t>
      </w:r>
      <w:r w:rsidR="000E3B1B" w:rsidRPr="00436430">
        <w:rPr>
          <w:rFonts w:asciiTheme="minorHAnsi" w:eastAsiaTheme="minorHAnsi" w:hAnsiTheme="minorHAnsi" w:cstheme="minorBidi"/>
        </w:rPr>
        <w:t xml:space="preserve">which meet the needs of adolescents and youth </w:t>
      </w:r>
      <w:r w:rsidRPr="00436430">
        <w:rPr>
          <w:rFonts w:asciiTheme="minorHAnsi" w:eastAsiaTheme="minorHAnsi" w:hAnsiTheme="minorHAnsi" w:cstheme="minorBidi"/>
        </w:rPr>
        <w:t xml:space="preserve">are articulated in the 3RP plans </w:t>
      </w:r>
    </w:p>
    <w:p w14:paraId="6E22EA9D" w14:textId="22AEE8C8" w:rsidR="0079654F" w:rsidRPr="004F76CE" w:rsidRDefault="00D61449" w:rsidP="004F76CE">
      <w:pPr>
        <w:pStyle w:val="NoSpacing"/>
        <w:spacing w:after="120"/>
        <w:jc w:val="lowKashida"/>
      </w:pPr>
      <w:r w:rsidRPr="00436430">
        <w:t xml:space="preserve">A brief summary of the strategic multi-sectoral approach to address adolescents and youth may be included in the strategic vision section of the country overview. In addition, </w:t>
      </w:r>
      <w:r w:rsidR="000E3B1B" w:rsidRPr="00436430">
        <w:t>sectors should</w:t>
      </w:r>
      <w:r w:rsidRPr="00436430">
        <w:t xml:space="preserve"> articulate interventions to address adolescent and youth </w:t>
      </w:r>
      <w:r w:rsidR="000E3B1B" w:rsidRPr="00436430">
        <w:t>needs</w:t>
      </w:r>
      <w:r w:rsidR="0070385C">
        <w:t xml:space="preserve"> </w:t>
      </w:r>
      <w:r w:rsidR="00B9029B">
        <w:t xml:space="preserve">in line with sector-specific </w:t>
      </w:r>
      <w:r w:rsidR="00B039DA">
        <w:t>approaches</w:t>
      </w:r>
      <w:r w:rsidR="00B9029B">
        <w:t>.</w:t>
      </w:r>
      <w:r w:rsidR="0079654F">
        <w:t xml:space="preserve"> </w:t>
      </w:r>
      <w:r w:rsidR="0079654F" w:rsidRPr="00D61449">
        <w:rPr>
          <w:rFonts w:asciiTheme="minorHAnsi" w:eastAsiaTheme="minorHAnsi" w:hAnsiTheme="minorHAnsi" w:cstheme="minorBidi"/>
        </w:rPr>
        <w:t>Below are some key examples of interventions per sector</w:t>
      </w:r>
      <w:r w:rsidR="0079654F">
        <w:rPr>
          <w:rStyle w:val="FootnoteReference"/>
          <w:rFonts w:asciiTheme="minorHAnsi" w:eastAsiaTheme="minorHAnsi" w:hAnsiTheme="minorHAnsi" w:cstheme="minorBidi"/>
        </w:rPr>
        <w:footnoteReference w:id="4"/>
      </w:r>
      <w:r w:rsidR="0079654F" w:rsidRPr="00D61449">
        <w:rPr>
          <w:rFonts w:asciiTheme="minorHAnsi" w:eastAsiaTheme="minorHAnsi" w:hAnsiTheme="minorHAnsi" w:cstheme="minorBidi"/>
        </w:rPr>
        <w:t xml:space="preserve">: </w:t>
      </w:r>
    </w:p>
    <w:p w14:paraId="4C8F71C9" w14:textId="6C9E063C" w:rsidR="0079654F" w:rsidRPr="00D61449" w:rsidRDefault="0079654F" w:rsidP="0079654F">
      <w:pPr>
        <w:pStyle w:val="NoSpacing"/>
        <w:spacing w:after="120"/>
        <w:jc w:val="lowKashida"/>
        <w:rPr>
          <w:rFonts w:asciiTheme="minorHAnsi" w:eastAsiaTheme="minorHAnsi" w:hAnsiTheme="minorHAnsi" w:cstheme="minorBidi"/>
        </w:rPr>
      </w:pPr>
      <w:r w:rsidRPr="00434AE2">
        <w:rPr>
          <w:rFonts w:asciiTheme="minorHAnsi" w:eastAsiaTheme="minorHAnsi" w:hAnsiTheme="minorHAnsi" w:cstheme="minorBidi"/>
          <w:b/>
          <w:bCs/>
        </w:rPr>
        <w:t>Protection</w:t>
      </w:r>
      <w:r w:rsidRPr="00434AE2">
        <w:rPr>
          <w:rFonts w:asciiTheme="minorHAnsi" w:eastAsiaTheme="minorHAnsi" w:hAnsiTheme="minorHAnsi" w:cstheme="minorBidi"/>
        </w:rPr>
        <w:t>.</w:t>
      </w:r>
      <w:r w:rsidRPr="00D61449">
        <w:rPr>
          <w:rFonts w:asciiTheme="minorHAnsi" w:eastAsiaTheme="minorHAnsi" w:hAnsiTheme="minorHAnsi" w:cstheme="minorBidi"/>
        </w:rPr>
        <w:t xml:space="preserve"> Within child protection, most programmes benefit adolescents particularly those that address </w:t>
      </w:r>
      <w:r w:rsidR="007F1415">
        <w:rPr>
          <w:rFonts w:asciiTheme="minorHAnsi" w:eastAsiaTheme="minorHAnsi" w:hAnsiTheme="minorHAnsi" w:cstheme="minorBidi"/>
        </w:rPr>
        <w:t xml:space="preserve">the </w:t>
      </w:r>
      <w:r w:rsidRPr="00D61449">
        <w:rPr>
          <w:rFonts w:asciiTheme="minorHAnsi" w:eastAsiaTheme="minorHAnsi" w:hAnsiTheme="minorHAnsi" w:cstheme="minorBidi"/>
        </w:rPr>
        <w:t>worst forms of child labour including hazardous child labour, child marriage and unaccompanied children as well as adolescent friendly spaces and life skills</w:t>
      </w:r>
      <w:bookmarkStart w:id="0" w:name="_GoBack"/>
      <w:bookmarkEnd w:id="0"/>
      <w:r w:rsidRPr="00D61449">
        <w:rPr>
          <w:rFonts w:asciiTheme="minorHAnsi" w:eastAsiaTheme="minorHAnsi" w:hAnsiTheme="minorHAnsi" w:cstheme="minorBidi"/>
        </w:rPr>
        <w:t xml:space="preserve"> for adolescents. </w:t>
      </w:r>
      <w:r>
        <w:rPr>
          <w:rFonts w:asciiTheme="minorHAnsi" w:eastAsiaTheme="minorHAnsi" w:hAnsiTheme="minorHAnsi" w:cstheme="minorBidi"/>
        </w:rPr>
        <w:t>It also includes working with education colleagues to ensure safe education</w:t>
      </w:r>
      <w:r w:rsidR="004F76CE">
        <w:rPr>
          <w:rFonts w:asciiTheme="minorHAnsi" w:eastAsiaTheme="minorHAnsi" w:hAnsiTheme="minorHAnsi" w:cstheme="minorBidi"/>
        </w:rPr>
        <w:t xml:space="preserve"> for adolescents and youth</w:t>
      </w:r>
      <w:r w:rsidR="00B12AE5">
        <w:rPr>
          <w:rFonts w:asciiTheme="minorHAnsi" w:eastAsiaTheme="minorHAnsi" w:hAnsiTheme="minorHAnsi" w:cstheme="minorBidi"/>
        </w:rPr>
        <w:t xml:space="preserve">, including </w:t>
      </w:r>
      <w:r w:rsidR="007F1415">
        <w:rPr>
          <w:rFonts w:asciiTheme="minorHAnsi" w:eastAsiaTheme="minorHAnsi" w:hAnsiTheme="minorHAnsi" w:cstheme="minorBidi"/>
        </w:rPr>
        <w:t xml:space="preserve">protection sensitive </w:t>
      </w:r>
      <w:r w:rsidR="00B12AE5">
        <w:rPr>
          <w:rFonts w:asciiTheme="minorHAnsi" w:eastAsiaTheme="minorHAnsi" w:hAnsiTheme="minorHAnsi" w:cstheme="minorBidi"/>
        </w:rPr>
        <w:t>tertiary education</w:t>
      </w:r>
      <w:r w:rsidR="007F1415">
        <w:rPr>
          <w:rFonts w:asciiTheme="minorHAnsi" w:eastAsiaTheme="minorHAnsi" w:hAnsiTheme="minorHAnsi" w:cstheme="minorBidi"/>
        </w:rPr>
        <w:t xml:space="preserve"> for refugees</w:t>
      </w:r>
      <w:r>
        <w:rPr>
          <w:rFonts w:asciiTheme="minorHAnsi" w:eastAsiaTheme="minorHAnsi" w:hAnsiTheme="minorHAnsi" w:cstheme="minorBidi"/>
        </w:rPr>
        <w:t xml:space="preserve">. </w:t>
      </w:r>
      <w:r w:rsidRPr="00D61449">
        <w:rPr>
          <w:rFonts w:asciiTheme="minorHAnsi" w:eastAsiaTheme="minorHAnsi" w:hAnsiTheme="minorHAnsi" w:cstheme="minorBidi"/>
        </w:rPr>
        <w:t xml:space="preserve">Within SGBV programmes addressing early and forced marriage as well as domestic and sexual violence are crucial for girls, boys and young women and men. Broader protection interventions such as legal aid, support to access documentation including residency, marriage registration and birth registration are also particularly relevant for this age group. Finally within community-based protection supporting adolescent and youth engagement and participation, adolescents and youth should be engaged to advocate for change and support them in their efforts. </w:t>
      </w:r>
    </w:p>
    <w:p w14:paraId="4BCC3268" w14:textId="78191F45" w:rsidR="0079654F" w:rsidRPr="00A01790" w:rsidRDefault="0079654F" w:rsidP="00B12AE5">
      <w:pPr>
        <w:spacing w:after="0"/>
        <w:jc w:val="both"/>
        <w:rPr>
          <w:rFonts w:cs="Times New Roman"/>
        </w:rPr>
      </w:pPr>
      <w:r w:rsidRPr="00A01790">
        <w:rPr>
          <w:b/>
          <w:bCs/>
        </w:rPr>
        <w:t>Livelihoods</w:t>
      </w:r>
      <w:r w:rsidRPr="00A01790">
        <w:t>. Programmes include livelihoods projects that explicitly target youth aged 15-</w:t>
      </w:r>
      <w:r w:rsidR="00361642" w:rsidRPr="00A01790">
        <w:t>17, 18-</w:t>
      </w:r>
      <w:r w:rsidRPr="00A01790">
        <w:t xml:space="preserve">24 </w:t>
      </w:r>
      <w:r w:rsidR="00361642" w:rsidRPr="00A01790">
        <w:t>and 25 and above</w:t>
      </w:r>
      <w:r w:rsidR="00D57017" w:rsidRPr="00A01790">
        <w:rPr>
          <w:rStyle w:val="FootnoteReference"/>
        </w:rPr>
        <w:footnoteReference w:id="5"/>
      </w:r>
      <w:r w:rsidR="00361642" w:rsidRPr="00A01790">
        <w:t xml:space="preserve"> </w:t>
      </w:r>
      <w:r w:rsidRPr="00A01790">
        <w:t>in order to</w:t>
      </w:r>
      <w:r w:rsidRPr="00D61449">
        <w:t xml:space="preserve"> provide them with decent, safe and legal work opportunities. </w:t>
      </w:r>
      <w:r>
        <w:t>This can include: f</w:t>
      </w:r>
      <w:r w:rsidRPr="0070385C">
        <w:t xml:space="preserve">acilitating </w:t>
      </w:r>
      <w:r w:rsidRPr="0079654F">
        <w:rPr>
          <w:rFonts w:cs="Calibri"/>
        </w:rPr>
        <w:t>partnerships with the private sector to generate greater employment opportunities and broker relationships bet</w:t>
      </w:r>
      <w:r>
        <w:rPr>
          <w:rFonts w:cs="Calibri"/>
        </w:rPr>
        <w:t>ween employers and young people; r</w:t>
      </w:r>
      <w:r w:rsidRPr="0070385C">
        <w:t xml:space="preserve">esearch on the legal, </w:t>
      </w:r>
      <w:r w:rsidRPr="00A01790">
        <w:t xml:space="preserve">socioeconomic and other barriers and opportunities for adolescents and youth in accessing </w:t>
      </w:r>
      <w:r w:rsidR="00361642" w:rsidRPr="00A01790">
        <w:t xml:space="preserve">decent </w:t>
      </w:r>
      <w:r w:rsidRPr="00A01790">
        <w:t>employment</w:t>
      </w:r>
      <w:r w:rsidR="00361642" w:rsidRPr="00A01790">
        <w:t xml:space="preserve"> opportunities</w:t>
      </w:r>
      <w:r w:rsidRPr="00A01790">
        <w:t xml:space="preserve">; </w:t>
      </w:r>
      <w:r w:rsidR="00361642" w:rsidRPr="00A01790">
        <w:t xml:space="preserve">engagement in various wage employment initiatives and ensuring safety and protection; providing market-relevant </w:t>
      </w:r>
      <w:r w:rsidR="00D57017" w:rsidRPr="00A01790">
        <w:t>capabilities</w:t>
      </w:r>
      <w:r w:rsidR="00361642" w:rsidRPr="00A01790">
        <w:t xml:space="preserve">; </w:t>
      </w:r>
      <w:r w:rsidRPr="00A01790">
        <w:t>as well as advocacy to address barriers</w:t>
      </w:r>
      <w:r w:rsidR="00361642" w:rsidRPr="00A01790">
        <w:t xml:space="preserve"> to </w:t>
      </w:r>
      <w:r w:rsidRPr="00A01790">
        <w:t>adolescent and youth led social and business entrepreneurship</w:t>
      </w:r>
      <w:r w:rsidRPr="00A01790">
        <w:rPr>
          <w:rFonts w:cs="Times New Roman"/>
        </w:rPr>
        <w:t xml:space="preserve"> </w:t>
      </w:r>
      <w:r w:rsidR="00361642" w:rsidRPr="00A01790">
        <w:rPr>
          <w:rFonts w:cs="Times New Roman"/>
        </w:rPr>
        <w:t xml:space="preserve">and self-employment </w:t>
      </w:r>
      <w:r w:rsidRPr="00A01790">
        <w:rPr>
          <w:rFonts w:cs="Times New Roman"/>
        </w:rPr>
        <w:t xml:space="preserve">initiatives.   </w:t>
      </w:r>
    </w:p>
    <w:p w14:paraId="3CC52A06" w14:textId="77777777" w:rsidR="007D5A12" w:rsidRPr="00A01790" w:rsidRDefault="007D5A12" w:rsidP="00B12AE5">
      <w:pPr>
        <w:spacing w:after="0"/>
        <w:jc w:val="both"/>
        <w:rPr>
          <w:rFonts w:cs="Times New Roman"/>
        </w:rPr>
      </w:pPr>
    </w:p>
    <w:p w14:paraId="72E9EFCF" w14:textId="7CF64F91" w:rsidR="007D5A12" w:rsidRDefault="00D7254B" w:rsidP="00B12AE5">
      <w:pPr>
        <w:spacing w:after="0"/>
        <w:jc w:val="both"/>
        <w:rPr>
          <w:rFonts w:cs="Times New Roman"/>
        </w:rPr>
      </w:pPr>
      <w:r>
        <w:rPr>
          <w:rFonts w:cs="Times New Roman"/>
          <w:b/>
        </w:rPr>
        <w:t>Social C</w:t>
      </w:r>
      <w:r w:rsidR="007D5A12" w:rsidRPr="00A01790">
        <w:rPr>
          <w:rFonts w:cs="Times New Roman"/>
          <w:b/>
        </w:rPr>
        <w:t>ohesion.</w:t>
      </w:r>
      <w:r w:rsidR="007D5A12" w:rsidRPr="00A01790">
        <w:rPr>
          <w:rFonts w:cs="Times New Roman"/>
        </w:rPr>
        <w:t xml:space="preserve"> Programmes inc</w:t>
      </w:r>
      <w:r w:rsidR="00D57017" w:rsidRPr="00A01790">
        <w:rPr>
          <w:rFonts w:cs="Times New Roman"/>
        </w:rPr>
        <w:t xml:space="preserve">lude </w:t>
      </w:r>
      <w:r w:rsidR="007D5A12" w:rsidRPr="00A01790">
        <w:rPr>
          <w:rFonts w:cs="Times New Roman"/>
        </w:rPr>
        <w:t>capacity building support related to local conflict mitigation</w:t>
      </w:r>
      <w:r w:rsidR="001E09A1" w:rsidRPr="00A01790">
        <w:rPr>
          <w:rFonts w:cs="Times New Roman"/>
        </w:rPr>
        <w:t>, dialogue, and conflict resolution for youth to be able to effectively d</w:t>
      </w:r>
      <w:r w:rsidR="009B515E">
        <w:rPr>
          <w:rFonts w:cs="Times New Roman"/>
        </w:rPr>
        <w:t>efuse</w:t>
      </w:r>
      <w:r w:rsidR="001E09A1" w:rsidRPr="00A01790">
        <w:rPr>
          <w:rFonts w:cs="Times New Roman"/>
        </w:rPr>
        <w:t xml:space="preserve"> and resolve tensions and conflicts among peers and communities, and looking for alternative means to violence for resolving differences and tensions for peace and peaceful co-existence.</w:t>
      </w:r>
      <w:r w:rsidR="001E09A1">
        <w:rPr>
          <w:rFonts w:cs="Times New Roman"/>
        </w:rPr>
        <w:t xml:space="preserve">  </w:t>
      </w:r>
    </w:p>
    <w:p w14:paraId="0E118A26" w14:textId="77777777" w:rsidR="00B12AE5" w:rsidRPr="00B12AE5" w:rsidRDefault="00B12AE5" w:rsidP="00B12AE5">
      <w:pPr>
        <w:spacing w:after="0"/>
        <w:jc w:val="both"/>
        <w:rPr>
          <w:color w:val="00B0F0"/>
        </w:rPr>
      </w:pPr>
    </w:p>
    <w:p w14:paraId="2128D824" w14:textId="61C79E6F" w:rsidR="008E2444" w:rsidRDefault="0079654F" w:rsidP="005F314E">
      <w:pPr>
        <w:pStyle w:val="NoSpacing"/>
        <w:spacing w:after="120"/>
        <w:jc w:val="lowKashida"/>
      </w:pPr>
      <w:r w:rsidRPr="00434AE2">
        <w:rPr>
          <w:rFonts w:asciiTheme="minorHAnsi" w:eastAsiaTheme="minorHAnsi" w:hAnsiTheme="minorHAnsi" w:cstheme="minorBidi"/>
          <w:b/>
          <w:bCs/>
        </w:rPr>
        <w:lastRenderedPageBreak/>
        <w:t>Health</w:t>
      </w:r>
      <w:r w:rsidRPr="00D61449">
        <w:rPr>
          <w:rFonts w:asciiTheme="minorHAnsi" w:eastAsiaTheme="minorHAnsi" w:hAnsiTheme="minorHAnsi" w:cstheme="minorBidi"/>
        </w:rPr>
        <w:t xml:space="preserve">. Programmes may include that sexual and reproductive health projects that benefit adolescent girls and </w:t>
      </w:r>
      <w:r w:rsidR="00EC2079">
        <w:rPr>
          <w:rFonts w:asciiTheme="minorHAnsi" w:eastAsiaTheme="minorHAnsi" w:hAnsiTheme="minorHAnsi" w:cstheme="minorBidi"/>
        </w:rPr>
        <w:t xml:space="preserve">young </w:t>
      </w:r>
      <w:r w:rsidRPr="00D61449">
        <w:rPr>
          <w:rFonts w:asciiTheme="minorHAnsi" w:eastAsiaTheme="minorHAnsi" w:hAnsiTheme="minorHAnsi" w:cstheme="minorBidi"/>
        </w:rPr>
        <w:t xml:space="preserve">women, services for survivors of SGBV or other health services that specifically target adolescents and youth. </w:t>
      </w:r>
      <w:r w:rsidR="00EC2079">
        <w:rPr>
          <w:rFonts w:asciiTheme="minorHAnsi" w:eastAsiaTheme="minorHAnsi" w:hAnsiTheme="minorHAnsi" w:cstheme="minorBidi"/>
        </w:rPr>
        <w:t>It may also include mental health services that are particularly important for adolescent young people including services for survivors of torture or suicide prevention or drug abuse programmes.</w:t>
      </w:r>
    </w:p>
    <w:p w14:paraId="1AEED55C" w14:textId="6DB3F179" w:rsidR="001D3539" w:rsidRPr="0007318B" w:rsidRDefault="00D61449" w:rsidP="0007318B">
      <w:pPr>
        <w:pStyle w:val="NoSpacing"/>
        <w:numPr>
          <w:ilvl w:val="0"/>
          <w:numId w:val="48"/>
        </w:numPr>
        <w:spacing w:after="120"/>
        <w:jc w:val="lowKashida"/>
        <w:rPr>
          <w:rFonts w:asciiTheme="minorHAnsi" w:eastAsiaTheme="minorHAnsi" w:hAnsiTheme="minorHAnsi" w:cstheme="minorBidi"/>
        </w:rPr>
      </w:pPr>
      <w:r w:rsidRPr="00436430">
        <w:rPr>
          <w:rFonts w:asciiTheme="minorHAnsi" w:eastAsiaTheme="minorHAnsi" w:hAnsiTheme="minorHAnsi" w:cstheme="minorBidi"/>
        </w:rPr>
        <w:t>Sectors should ensure appropriate tracking of results of adolescent and youth programming</w:t>
      </w:r>
      <w:r w:rsidR="00AF228E">
        <w:rPr>
          <w:rFonts w:asciiTheme="minorHAnsi" w:eastAsiaTheme="minorHAnsi" w:hAnsiTheme="minorHAnsi" w:cstheme="minorBidi"/>
        </w:rPr>
        <w:t xml:space="preserve"> within their current sector M&amp;E frameworks</w:t>
      </w:r>
      <w:r w:rsidR="005F314E">
        <w:rPr>
          <w:rFonts w:asciiTheme="minorHAnsi" w:eastAsiaTheme="minorHAnsi" w:hAnsiTheme="minorHAnsi" w:cstheme="minorBidi"/>
        </w:rPr>
        <w:t xml:space="preserve"> in line with their respective sector specific strategies, priorities and plans. </w:t>
      </w:r>
      <w:r w:rsidR="00AF228E">
        <w:rPr>
          <w:rFonts w:asciiTheme="minorHAnsi" w:eastAsiaTheme="minorHAnsi" w:hAnsiTheme="minorHAnsi" w:cstheme="minorBidi"/>
        </w:rPr>
        <w:t xml:space="preserve"> </w:t>
      </w:r>
    </w:p>
    <w:p w14:paraId="5D825B4E" w14:textId="0E3E3EF0" w:rsidR="00D61449" w:rsidRPr="00436430" w:rsidRDefault="00D61449" w:rsidP="005F314E">
      <w:pPr>
        <w:pStyle w:val="NoSpacing"/>
        <w:spacing w:after="120"/>
        <w:jc w:val="lowKashida"/>
        <w:rPr>
          <w:rFonts w:asciiTheme="minorHAnsi" w:eastAsiaTheme="minorHAnsi" w:hAnsiTheme="minorHAnsi" w:cstheme="minorBidi"/>
        </w:rPr>
      </w:pPr>
      <w:r w:rsidRPr="00436430">
        <w:rPr>
          <w:rFonts w:asciiTheme="minorHAnsi" w:eastAsiaTheme="minorHAnsi" w:hAnsiTheme="minorHAnsi" w:cstheme="minorBidi"/>
        </w:rPr>
        <w:t xml:space="preserve">Sectors should ensure that those indicators most relevant to adolescent and youth programming are age and sex disaggregated. </w:t>
      </w:r>
      <w:r w:rsidR="004F76CE">
        <w:rPr>
          <w:rFonts w:asciiTheme="minorHAnsi" w:eastAsiaTheme="minorHAnsi" w:hAnsiTheme="minorHAnsi" w:cstheme="minorBidi"/>
        </w:rPr>
        <w:t xml:space="preserve">Recommended indicators have been developed within sectors to reflect appropriate disaggregation in each sector and are included in sector specific indicator guidance. </w:t>
      </w:r>
      <w:r w:rsidRPr="00436430">
        <w:rPr>
          <w:rFonts w:asciiTheme="minorHAnsi" w:eastAsiaTheme="minorHAnsi" w:hAnsiTheme="minorHAnsi" w:cstheme="minorBidi"/>
        </w:rPr>
        <w:t xml:space="preserve">In general </w:t>
      </w:r>
      <w:r w:rsidR="004F76CE">
        <w:rPr>
          <w:rFonts w:asciiTheme="minorHAnsi" w:eastAsiaTheme="minorHAnsi" w:hAnsiTheme="minorHAnsi" w:cstheme="minorBidi"/>
        </w:rPr>
        <w:t xml:space="preserve">recommended </w:t>
      </w:r>
      <w:r w:rsidRPr="00436430">
        <w:rPr>
          <w:rFonts w:asciiTheme="minorHAnsi" w:eastAsiaTheme="minorHAnsi" w:hAnsiTheme="minorHAnsi" w:cstheme="minorBidi"/>
        </w:rPr>
        <w:t>age disaggregation</w:t>
      </w:r>
      <w:r w:rsidR="0070385C">
        <w:rPr>
          <w:rFonts w:asciiTheme="minorHAnsi" w:eastAsiaTheme="minorHAnsi" w:hAnsiTheme="minorHAnsi" w:cstheme="minorBidi"/>
        </w:rPr>
        <w:t xml:space="preserve"> </w:t>
      </w:r>
      <w:r w:rsidR="004F76CE">
        <w:rPr>
          <w:rFonts w:asciiTheme="minorHAnsi" w:eastAsiaTheme="minorHAnsi" w:hAnsiTheme="minorHAnsi" w:cstheme="minorBidi"/>
        </w:rPr>
        <w:t>is</w:t>
      </w:r>
      <w:r w:rsidRPr="00436430">
        <w:rPr>
          <w:rFonts w:asciiTheme="minorHAnsi" w:eastAsiaTheme="minorHAnsi" w:hAnsiTheme="minorHAnsi" w:cstheme="minorBidi"/>
        </w:rPr>
        <w:t xml:space="preserve"> 10-17 and 18-24</w:t>
      </w:r>
      <w:r w:rsidR="004F76CE">
        <w:rPr>
          <w:rFonts w:asciiTheme="minorHAnsi" w:eastAsiaTheme="minorHAnsi" w:hAnsiTheme="minorHAnsi" w:cstheme="minorBidi"/>
        </w:rPr>
        <w:t xml:space="preserve"> but there are two sectors where sector specific disaggregation has been developed. First, in </w:t>
      </w:r>
      <w:r w:rsidR="00254798">
        <w:rPr>
          <w:rFonts w:asciiTheme="minorHAnsi" w:eastAsiaTheme="minorHAnsi" w:hAnsiTheme="minorHAnsi" w:cstheme="minorBidi"/>
        </w:rPr>
        <w:t xml:space="preserve">education </w:t>
      </w:r>
      <w:r w:rsidR="004F76CE">
        <w:rPr>
          <w:rFonts w:asciiTheme="minorHAnsi" w:eastAsiaTheme="minorHAnsi" w:hAnsiTheme="minorHAnsi" w:cstheme="minorBidi"/>
        </w:rPr>
        <w:t>disaggregation is by</w:t>
      </w:r>
      <w:r w:rsidR="00254798">
        <w:rPr>
          <w:rFonts w:asciiTheme="minorHAnsi" w:eastAsiaTheme="minorHAnsi" w:hAnsiTheme="minorHAnsi" w:cstheme="minorBidi"/>
        </w:rPr>
        <w:t xml:space="preserve"> education le</w:t>
      </w:r>
      <w:r w:rsidR="004F76CE">
        <w:rPr>
          <w:rFonts w:asciiTheme="minorHAnsi" w:eastAsiaTheme="minorHAnsi" w:hAnsiTheme="minorHAnsi" w:cstheme="minorBidi"/>
        </w:rPr>
        <w:t>vels (e.g. basic and post-basic) not age - see</w:t>
      </w:r>
      <w:r w:rsidR="00254798">
        <w:rPr>
          <w:rFonts w:asciiTheme="minorHAnsi" w:eastAsiaTheme="minorHAnsi" w:hAnsiTheme="minorHAnsi" w:cstheme="minorBidi"/>
        </w:rPr>
        <w:t xml:space="preserve"> </w:t>
      </w:r>
      <w:r w:rsidR="00254798" w:rsidRPr="00254798">
        <w:rPr>
          <w:rFonts w:asciiTheme="minorHAnsi" w:eastAsiaTheme="minorHAnsi" w:hAnsiTheme="minorHAnsi" w:cstheme="minorBidi"/>
        </w:rPr>
        <w:t>indicator guidance</w:t>
      </w:r>
      <w:r w:rsidR="00254798">
        <w:rPr>
          <w:rFonts w:asciiTheme="minorHAnsi" w:eastAsiaTheme="minorHAnsi" w:hAnsiTheme="minorHAnsi" w:cstheme="minorBidi"/>
        </w:rPr>
        <w:t xml:space="preserve"> de</w:t>
      </w:r>
      <w:r w:rsidR="004F76CE">
        <w:rPr>
          <w:rFonts w:asciiTheme="minorHAnsi" w:eastAsiaTheme="minorHAnsi" w:hAnsiTheme="minorHAnsi" w:cstheme="minorBidi"/>
        </w:rPr>
        <w:t>veloped by the education sector. Secondly in certain livelihood indicators</w:t>
      </w:r>
      <w:r w:rsidRPr="00436430">
        <w:rPr>
          <w:rFonts w:asciiTheme="minorHAnsi" w:eastAsiaTheme="minorHAnsi" w:hAnsiTheme="minorHAnsi" w:cstheme="minorBidi"/>
        </w:rPr>
        <w:t>, the targeted age group may be more restricted (15-17 and 18-24)</w:t>
      </w:r>
      <w:r w:rsidR="004F76CE">
        <w:rPr>
          <w:rFonts w:asciiTheme="minorHAnsi" w:eastAsiaTheme="minorHAnsi" w:hAnsiTheme="minorHAnsi" w:cstheme="minorBidi"/>
        </w:rPr>
        <w:t xml:space="preserve"> to reflect minimum age of working</w:t>
      </w:r>
      <w:r w:rsidRPr="00436430">
        <w:rPr>
          <w:rFonts w:asciiTheme="minorHAnsi" w:eastAsiaTheme="minorHAnsi" w:hAnsiTheme="minorHAnsi" w:cstheme="minorBidi"/>
        </w:rPr>
        <w:t xml:space="preserve">. This disaggregation should be reflected in both sector targets and reported results where feasible.    </w:t>
      </w:r>
    </w:p>
    <w:p w14:paraId="27FFD0B9" w14:textId="3F525037" w:rsidR="009B515E" w:rsidRDefault="009B515E" w:rsidP="00434AE2">
      <w:pPr>
        <w:pStyle w:val="NoSpacing"/>
        <w:spacing w:after="120"/>
        <w:ind w:firstLine="709"/>
        <w:jc w:val="lowKashida"/>
        <w:rPr>
          <w:rFonts w:asciiTheme="minorHAnsi" w:eastAsiaTheme="minorHAnsi" w:hAnsiTheme="minorHAnsi" w:cstheme="minorBidi"/>
        </w:rPr>
      </w:pPr>
    </w:p>
    <w:p w14:paraId="53DC31B6" w14:textId="77777777" w:rsidR="009B515E" w:rsidRDefault="009B515E" w:rsidP="00434AE2">
      <w:pPr>
        <w:pStyle w:val="NoSpacing"/>
        <w:spacing w:after="120"/>
        <w:ind w:firstLine="709"/>
        <w:jc w:val="lowKashida"/>
        <w:rPr>
          <w:rFonts w:asciiTheme="minorHAnsi" w:eastAsiaTheme="minorHAnsi" w:hAnsiTheme="minorHAnsi" w:cstheme="minorBidi"/>
        </w:rPr>
      </w:pPr>
    </w:p>
    <w:p w14:paraId="416BE3E4" w14:textId="77777777" w:rsidR="009B515E" w:rsidRDefault="009B515E" w:rsidP="00434AE2">
      <w:pPr>
        <w:pStyle w:val="NoSpacing"/>
        <w:spacing w:after="120"/>
        <w:ind w:firstLine="709"/>
        <w:jc w:val="lowKashida"/>
        <w:rPr>
          <w:rFonts w:asciiTheme="minorHAnsi" w:eastAsiaTheme="minorHAnsi" w:hAnsiTheme="minorHAnsi" w:cstheme="minorBidi"/>
        </w:rPr>
      </w:pPr>
    </w:p>
    <w:p w14:paraId="63127453" w14:textId="77777777" w:rsidR="009B515E" w:rsidRDefault="009B515E" w:rsidP="00434AE2">
      <w:pPr>
        <w:pStyle w:val="NoSpacing"/>
        <w:spacing w:after="120"/>
        <w:ind w:firstLine="709"/>
        <w:jc w:val="lowKashida"/>
        <w:rPr>
          <w:rFonts w:asciiTheme="minorHAnsi" w:eastAsiaTheme="minorHAnsi" w:hAnsiTheme="minorHAnsi" w:cstheme="minorBidi"/>
        </w:rPr>
      </w:pPr>
    </w:p>
    <w:p w14:paraId="56056D77" w14:textId="77777777" w:rsidR="009B515E" w:rsidRDefault="009B515E" w:rsidP="00434AE2">
      <w:pPr>
        <w:pStyle w:val="NoSpacing"/>
        <w:spacing w:after="120"/>
        <w:ind w:firstLine="709"/>
        <w:jc w:val="lowKashida"/>
        <w:rPr>
          <w:rFonts w:asciiTheme="minorHAnsi" w:eastAsiaTheme="minorHAnsi" w:hAnsiTheme="minorHAnsi" w:cstheme="minorBidi"/>
        </w:rPr>
      </w:pPr>
    </w:p>
    <w:p w14:paraId="29455BDA" w14:textId="77777777" w:rsidR="009B515E" w:rsidRDefault="009B515E" w:rsidP="00434AE2">
      <w:pPr>
        <w:pStyle w:val="NoSpacing"/>
        <w:spacing w:after="120"/>
        <w:ind w:firstLine="709"/>
        <w:jc w:val="lowKashida"/>
        <w:rPr>
          <w:rFonts w:asciiTheme="minorHAnsi" w:eastAsiaTheme="minorHAnsi" w:hAnsiTheme="minorHAnsi" w:cstheme="minorBidi"/>
        </w:rPr>
      </w:pPr>
    </w:p>
    <w:p w14:paraId="64E18A11" w14:textId="77777777" w:rsidR="009B515E" w:rsidRDefault="009B515E" w:rsidP="00434AE2">
      <w:pPr>
        <w:pStyle w:val="NoSpacing"/>
        <w:spacing w:after="120"/>
        <w:ind w:firstLine="709"/>
        <w:jc w:val="lowKashida"/>
        <w:rPr>
          <w:rFonts w:asciiTheme="minorHAnsi" w:eastAsiaTheme="minorHAnsi" w:hAnsiTheme="minorHAnsi" w:cstheme="minorBidi"/>
        </w:rPr>
      </w:pPr>
    </w:p>
    <w:p w14:paraId="2461B574" w14:textId="77777777" w:rsidR="00524721" w:rsidRDefault="00524721">
      <w:r>
        <w:br w:type="page"/>
      </w:r>
    </w:p>
    <w:p w14:paraId="3B7AA024" w14:textId="58893FCE" w:rsidR="009B515E" w:rsidRDefault="009B515E" w:rsidP="00434AE2">
      <w:pPr>
        <w:pStyle w:val="NoSpacing"/>
        <w:spacing w:after="120"/>
        <w:ind w:firstLine="709"/>
        <w:jc w:val="lowKashida"/>
        <w:rPr>
          <w:rFonts w:asciiTheme="minorHAnsi" w:eastAsiaTheme="minorHAnsi" w:hAnsiTheme="minorHAnsi" w:cstheme="minorBidi"/>
        </w:rPr>
      </w:pPr>
      <w:r>
        <w:rPr>
          <w:rFonts w:asciiTheme="minorHAnsi" w:eastAsiaTheme="minorHAnsi" w:hAnsiTheme="minorHAnsi" w:cstheme="minorBidi"/>
        </w:rPr>
        <w:lastRenderedPageBreak/>
        <w:t>Annex 1.</w:t>
      </w:r>
    </w:p>
    <w:p w14:paraId="2B1DE4F8" w14:textId="59F5169D" w:rsidR="009B515E" w:rsidRPr="00436430" w:rsidRDefault="004C6692" w:rsidP="00434AE2">
      <w:pPr>
        <w:pStyle w:val="NoSpacing"/>
        <w:spacing w:after="120"/>
        <w:ind w:firstLine="709"/>
        <w:jc w:val="lowKashida"/>
        <w:rPr>
          <w:rFonts w:asciiTheme="minorHAnsi" w:eastAsiaTheme="minorHAnsi" w:hAnsiTheme="minorHAnsi" w:cstheme="minorBidi"/>
        </w:rPr>
      </w:pPr>
      <w:r>
        <w:rPr>
          <w:rFonts w:asciiTheme="minorHAnsi" w:eastAsiaTheme="minorHAnsi" w:hAnsiTheme="minorHAnsi" w:cstheme="minorBidi"/>
          <w:noProof/>
          <w:lang w:val="en-GB" w:eastAsia="en-GB"/>
        </w:rPr>
        <w:drawing>
          <wp:inline distT="0" distB="0" distL="0" distR="0" wp14:anchorId="2A71659F" wp14:editId="049A9AC9">
            <wp:extent cx="6057900" cy="72936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outh engagement indicator guidance.PNG"/>
                    <pic:cNvPicPr/>
                  </pic:nvPicPr>
                  <pic:blipFill>
                    <a:blip r:embed="rId9">
                      <a:extLst>
                        <a:ext uri="{28A0092B-C50C-407E-A947-70E740481C1C}">
                          <a14:useLocalDpi xmlns:a14="http://schemas.microsoft.com/office/drawing/2010/main" val="0"/>
                        </a:ext>
                      </a:extLst>
                    </a:blip>
                    <a:stretch>
                      <a:fillRect/>
                    </a:stretch>
                  </pic:blipFill>
                  <pic:spPr>
                    <a:xfrm>
                      <a:off x="0" y="0"/>
                      <a:ext cx="6057900" cy="7293610"/>
                    </a:xfrm>
                    <a:prstGeom prst="rect">
                      <a:avLst/>
                    </a:prstGeom>
                  </pic:spPr>
                </pic:pic>
              </a:graphicData>
            </a:graphic>
          </wp:inline>
        </w:drawing>
      </w:r>
    </w:p>
    <w:sectPr w:rsidR="009B515E" w:rsidRPr="00436430" w:rsidSect="00D61449">
      <w:headerReference w:type="default" r:id="rId10"/>
      <w:footerReference w:type="default" r:id="rId11"/>
      <w:pgSz w:w="12240" w:h="15840"/>
      <w:pgMar w:top="1134" w:right="1260" w:bottom="1134"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4B205" w14:textId="77777777" w:rsidR="005127C0" w:rsidRDefault="005127C0" w:rsidP="00BF4FE4">
      <w:pPr>
        <w:spacing w:after="0" w:line="240" w:lineRule="auto"/>
      </w:pPr>
      <w:r>
        <w:separator/>
      </w:r>
    </w:p>
    <w:p w14:paraId="2EAE62C1" w14:textId="77777777" w:rsidR="005127C0" w:rsidRDefault="005127C0"/>
  </w:endnote>
  <w:endnote w:type="continuationSeparator" w:id="0">
    <w:p w14:paraId="2B185C68" w14:textId="77777777" w:rsidR="005127C0" w:rsidRDefault="005127C0" w:rsidP="00BF4FE4">
      <w:pPr>
        <w:spacing w:after="0" w:line="240" w:lineRule="auto"/>
      </w:pPr>
      <w:r>
        <w:continuationSeparator/>
      </w:r>
    </w:p>
    <w:p w14:paraId="609DD207" w14:textId="77777777" w:rsidR="005127C0" w:rsidRDefault="005127C0"/>
  </w:endnote>
  <w:endnote w:type="continuationNotice" w:id="1">
    <w:p w14:paraId="10566DB6" w14:textId="77777777" w:rsidR="005127C0" w:rsidRDefault="00512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tima LT St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ptima LT Std Demi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364062"/>
      <w:docPartObj>
        <w:docPartGallery w:val="Page Numbers (Bottom of Page)"/>
        <w:docPartUnique/>
      </w:docPartObj>
    </w:sdtPr>
    <w:sdtEndPr>
      <w:rPr>
        <w:noProof/>
      </w:rPr>
    </w:sdtEndPr>
    <w:sdtContent>
      <w:p w14:paraId="37BB5E6F" w14:textId="4802866A" w:rsidR="00B12AE5" w:rsidRDefault="00B12AE5">
        <w:pPr>
          <w:pStyle w:val="Footer"/>
          <w:jc w:val="center"/>
        </w:pPr>
        <w:r>
          <w:fldChar w:fldCharType="begin"/>
        </w:r>
        <w:r>
          <w:instrText xml:space="preserve"> PAGE   \* MERGEFORMAT </w:instrText>
        </w:r>
        <w:r>
          <w:fldChar w:fldCharType="separate"/>
        </w:r>
        <w:r w:rsidR="00863ECE">
          <w:rPr>
            <w:noProof/>
          </w:rPr>
          <w:t>2</w:t>
        </w:r>
        <w:r>
          <w:rPr>
            <w:noProof/>
          </w:rPr>
          <w:fldChar w:fldCharType="end"/>
        </w:r>
      </w:p>
    </w:sdtContent>
  </w:sdt>
  <w:p w14:paraId="2A228817" w14:textId="77777777" w:rsidR="00B12AE5" w:rsidRDefault="00B12AE5" w:rsidP="00D61449">
    <w:pPr>
      <w:tabs>
        <w:tab w:val="left" w:pos="397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8A97D" w14:textId="77777777" w:rsidR="005127C0" w:rsidRDefault="005127C0" w:rsidP="00BF4FE4">
      <w:pPr>
        <w:spacing w:after="0" w:line="240" w:lineRule="auto"/>
      </w:pPr>
      <w:r>
        <w:separator/>
      </w:r>
    </w:p>
    <w:p w14:paraId="48EAF0F5" w14:textId="77777777" w:rsidR="005127C0" w:rsidRDefault="005127C0"/>
  </w:footnote>
  <w:footnote w:type="continuationSeparator" w:id="0">
    <w:p w14:paraId="1CB8FEAF" w14:textId="77777777" w:rsidR="005127C0" w:rsidRDefault="005127C0" w:rsidP="00BF4FE4">
      <w:pPr>
        <w:spacing w:after="0" w:line="240" w:lineRule="auto"/>
      </w:pPr>
      <w:r>
        <w:continuationSeparator/>
      </w:r>
    </w:p>
    <w:p w14:paraId="000F45C9" w14:textId="77777777" w:rsidR="005127C0" w:rsidRDefault="005127C0"/>
  </w:footnote>
  <w:footnote w:type="continuationNotice" w:id="1">
    <w:p w14:paraId="22EAA3C0" w14:textId="77777777" w:rsidR="005127C0" w:rsidRDefault="005127C0">
      <w:pPr>
        <w:spacing w:after="0" w:line="240" w:lineRule="auto"/>
      </w:pPr>
    </w:p>
  </w:footnote>
  <w:footnote w:id="2">
    <w:p w14:paraId="3D74D494" w14:textId="16AE1EC0" w:rsidR="00B12AE5" w:rsidRPr="00D850F0" w:rsidRDefault="00B12AE5">
      <w:pPr>
        <w:pStyle w:val="FootnoteText"/>
        <w:rPr>
          <w:sz w:val="18"/>
          <w:szCs w:val="18"/>
        </w:rPr>
      </w:pPr>
      <w:r w:rsidRPr="00D850F0">
        <w:rPr>
          <w:rStyle w:val="FootnoteReference"/>
          <w:sz w:val="18"/>
          <w:szCs w:val="18"/>
        </w:rPr>
        <w:footnoteRef/>
      </w:r>
      <w:r w:rsidRPr="00D850F0">
        <w:rPr>
          <w:sz w:val="18"/>
          <w:szCs w:val="18"/>
        </w:rPr>
        <w:t xml:space="preserve"> Adolescents are defined as those aged 10-19; youth are defined as those aged 15 -24.</w:t>
      </w:r>
    </w:p>
  </w:footnote>
  <w:footnote w:id="3">
    <w:p w14:paraId="5493C898" w14:textId="77777777" w:rsidR="00B12AE5" w:rsidRPr="00D850F0" w:rsidRDefault="00B12AE5">
      <w:pPr>
        <w:pStyle w:val="FootnoteText"/>
        <w:rPr>
          <w:sz w:val="18"/>
          <w:szCs w:val="18"/>
        </w:rPr>
      </w:pPr>
      <w:r w:rsidRPr="00D850F0">
        <w:rPr>
          <w:rStyle w:val="FootnoteReference"/>
          <w:sz w:val="18"/>
          <w:szCs w:val="18"/>
        </w:rPr>
        <w:footnoteRef/>
      </w:r>
      <w:r w:rsidRPr="00D850F0">
        <w:rPr>
          <w:sz w:val="18"/>
          <w:szCs w:val="18"/>
        </w:rPr>
        <w:t xml:space="preserve"> ibid</w:t>
      </w:r>
    </w:p>
  </w:footnote>
  <w:footnote w:id="4">
    <w:p w14:paraId="71AB02EA" w14:textId="09080E2E" w:rsidR="00B12AE5" w:rsidRPr="00A01790" w:rsidRDefault="00B12AE5">
      <w:pPr>
        <w:pStyle w:val="FootnoteText"/>
      </w:pPr>
      <w:r w:rsidRPr="00A01790">
        <w:rPr>
          <w:rStyle w:val="FootnoteReference"/>
        </w:rPr>
        <w:footnoteRef/>
      </w:r>
      <w:r w:rsidRPr="00A01790">
        <w:t xml:space="preserve"> These examples have been part of country plans in the previous 3RP plans, identified in discussions with sectors as well as in a recent mapping of youth programming in the 3RP countries currently underway</w:t>
      </w:r>
    </w:p>
  </w:footnote>
  <w:footnote w:id="5">
    <w:p w14:paraId="1C20BD22" w14:textId="67AF77F8" w:rsidR="00D57017" w:rsidRDefault="00D57017">
      <w:pPr>
        <w:pStyle w:val="FootnoteText"/>
      </w:pPr>
      <w:r w:rsidRPr="00A01790">
        <w:rPr>
          <w:rStyle w:val="FootnoteReference"/>
        </w:rPr>
        <w:footnoteRef/>
      </w:r>
      <w:r w:rsidRPr="00A01790">
        <w:t xml:space="preserve"> In some instances at country level national policies </w:t>
      </w:r>
      <w:r w:rsidR="00456216" w:rsidRPr="00A01790">
        <w:t>defining</w:t>
      </w:r>
      <w:r w:rsidRPr="00A01790">
        <w:t xml:space="preserve"> youth </w:t>
      </w:r>
      <w:r w:rsidR="00456216" w:rsidRPr="00A01790">
        <w:t>exceed</w:t>
      </w:r>
      <w:r w:rsidRPr="00A01790">
        <w:t xml:space="preserve"> the age of 25.</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13A74" w14:textId="28622745" w:rsidR="00B12AE5" w:rsidRDefault="00B12A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76AB"/>
    <w:multiLevelType w:val="hybridMultilevel"/>
    <w:tmpl w:val="A5C61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D0FCD"/>
    <w:multiLevelType w:val="hybridMultilevel"/>
    <w:tmpl w:val="39642810"/>
    <w:lvl w:ilvl="0" w:tplc="049E7BF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12DCF"/>
    <w:multiLevelType w:val="hybridMultilevel"/>
    <w:tmpl w:val="F5C2CB0C"/>
    <w:lvl w:ilvl="0" w:tplc="24540C4C">
      <w:start w:val="1"/>
      <w:numFmt w:val="lowerLetter"/>
      <w:lvlText w:val="%1)"/>
      <w:lvlJc w:val="left"/>
      <w:pPr>
        <w:ind w:left="720" w:hanging="360"/>
      </w:pPr>
      <w:rPr>
        <w:b/>
        <w:bCs/>
        <w:color w:val="3B6B2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9256E9"/>
    <w:multiLevelType w:val="hybridMultilevel"/>
    <w:tmpl w:val="CA48E6A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4" w15:restartNumberingAfterBreak="0">
    <w:nsid w:val="1CD0062E"/>
    <w:multiLevelType w:val="hybridMultilevel"/>
    <w:tmpl w:val="6108DD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8C3173"/>
    <w:multiLevelType w:val="hybridMultilevel"/>
    <w:tmpl w:val="92BA6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9A2523"/>
    <w:multiLevelType w:val="multilevel"/>
    <w:tmpl w:val="5704BB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B192295"/>
    <w:multiLevelType w:val="hybridMultilevel"/>
    <w:tmpl w:val="60B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DC1A87"/>
    <w:multiLevelType w:val="hybridMultilevel"/>
    <w:tmpl w:val="C2A2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56155"/>
    <w:multiLevelType w:val="hybridMultilevel"/>
    <w:tmpl w:val="A2E0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25AB"/>
    <w:multiLevelType w:val="hybridMultilevel"/>
    <w:tmpl w:val="BC5CC562"/>
    <w:lvl w:ilvl="0" w:tplc="7F88089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700E6"/>
    <w:multiLevelType w:val="hybridMultilevel"/>
    <w:tmpl w:val="CDD4C906"/>
    <w:lvl w:ilvl="0" w:tplc="D5D4D44A">
      <w:start w:val="201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432EC8"/>
    <w:multiLevelType w:val="hybridMultilevel"/>
    <w:tmpl w:val="D8A253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7C4D2D"/>
    <w:multiLevelType w:val="hybridMultilevel"/>
    <w:tmpl w:val="0A4EB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BB760E"/>
    <w:multiLevelType w:val="hybridMultilevel"/>
    <w:tmpl w:val="E2E86F50"/>
    <w:lvl w:ilvl="0" w:tplc="A9A6BA70">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BF5117"/>
    <w:multiLevelType w:val="hybridMultilevel"/>
    <w:tmpl w:val="5E707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EF1073"/>
    <w:multiLevelType w:val="hybridMultilevel"/>
    <w:tmpl w:val="EB4E9870"/>
    <w:lvl w:ilvl="0" w:tplc="EEC8045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B0469E"/>
    <w:multiLevelType w:val="hybridMultilevel"/>
    <w:tmpl w:val="C400AB5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4C674B6B"/>
    <w:multiLevelType w:val="hybridMultilevel"/>
    <w:tmpl w:val="3D94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B00E6"/>
    <w:multiLevelType w:val="hybridMultilevel"/>
    <w:tmpl w:val="60BE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20B64"/>
    <w:multiLevelType w:val="hybridMultilevel"/>
    <w:tmpl w:val="5096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A463C"/>
    <w:multiLevelType w:val="hybridMultilevel"/>
    <w:tmpl w:val="AE709FA4"/>
    <w:lvl w:ilvl="0" w:tplc="CBCE43A6">
      <w:start w:val="3"/>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E945BA"/>
    <w:multiLevelType w:val="hybridMultilevel"/>
    <w:tmpl w:val="57281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622586"/>
    <w:multiLevelType w:val="hybridMultilevel"/>
    <w:tmpl w:val="B7908DEC"/>
    <w:lvl w:ilvl="0" w:tplc="7F88089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7006A"/>
    <w:multiLevelType w:val="hybridMultilevel"/>
    <w:tmpl w:val="F5C2CB0C"/>
    <w:lvl w:ilvl="0" w:tplc="24540C4C">
      <w:start w:val="1"/>
      <w:numFmt w:val="lowerLetter"/>
      <w:lvlText w:val="%1)"/>
      <w:lvlJc w:val="left"/>
      <w:pPr>
        <w:ind w:left="720" w:hanging="360"/>
      </w:pPr>
      <w:rPr>
        <w:b/>
        <w:bCs/>
        <w:color w:val="3B6B2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A032F5"/>
    <w:multiLevelType w:val="hybridMultilevel"/>
    <w:tmpl w:val="51F8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4018D"/>
    <w:multiLevelType w:val="hybridMultilevel"/>
    <w:tmpl w:val="3F5288FE"/>
    <w:lvl w:ilvl="0" w:tplc="0B4CB580">
      <w:start w:val="20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9D68BE"/>
    <w:multiLevelType w:val="hybridMultilevel"/>
    <w:tmpl w:val="FAC4CD08"/>
    <w:lvl w:ilvl="0" w:tplc="73D6445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8" w15:restartNumberingAfterBreak="0">
    <w:nsid w:val="61D735E0"/>
    <w:multiLevelType w:val="hybridMultilevel"/>
    <w:tmpl w:val="1EB4234E"/>
    <w:lvl w:ilvl="0" w:tplc="BDA2A8A8">
      <w:start w:val="1"/>
      <w:numFmt w:val="bullet"/>
      <w:lvlText w:val=""/>
      <w:lvlJc w:val="left"/>
      <w:pPr>
        <w:ind w:left="720" w:hanging="360"/>
      </w:pPr>
      <w:rPr>
        <w:rFonts w:ascii="Symbol" w:hAnsi="Symbol" w:hint="default"/>
        <w:color w:val="3B6B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2F60F2"/>
    <w:multiLevelType w:val="hybridMultilevel"/>
    <w:tmpl w:val="CEBC8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8C5465"/>
    <w:multiLevelType w:val="hybridMultilevel"/>
    <w:tmpl w:val="C810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45B09"/>
    <w:multiLevelType w:val="hybridMultilevel"/>
    <w:tmpl w:val="81DAE68A"/>
    <w:lvl w:ilvl="0" w:tplc="9F5AC30E">
      <w:start w:val="3"/>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33FF8"/>
    <w:multiLevelType w:val="hybridMultilevel"/>
    <w:tmpl w:val="6BEEF370"/>
    <w:lvl w:ilvl="0" w:tplc="9F5AC30E">
      <w:start w:val="3"/>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0B29DB"/>
    <w:multiLevelType w:val="hybridMultilevel"/>
    <w:tmpl w:val="E2E64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3A0478"/>
    <w:multiLevelType w:val="hybridMultilevel"/>
    <w:tmpl w:val="231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8539B"/>
    <w:multiLevelType w:val="hybridMultilevel"/>
    <w:tmpl w:val="24DE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88BF6">
      <w:numFmt w:val="bullet"/>
      <w:lvlText w:val="•"/>
      <w:lvlJc w:val="left"/>
      <w:pPr>
        <w:ind w:left="2160" w:hanging="360"/>
      </w:pPr>
      <w:rPr>
        <w:rFonts w:ascii="Optima LT Std" w:eastAsiaTheme="minorHAnsi" w:hAnsi="Optima LT Std" w:cs="Optima LT Std"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51DB2"/>
    <w:multiLevelType w:val="hybridMultilevel"/>
    <w:tmpl w:val="57E43586"/>
    <w:lvl w:ilvl="0" w:tplc="81F296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A782014"/>
    <w:multiLevelType w:val="hybridMultilevel"/>
    <w:tmpl w:val="D2E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6092D"/>
    <w:multiLevelType w:val="hybridMultilevel"/>
    <w:tmpl w:val="6ADC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663FBE"/>
    <w:multiLevelType w:val="hybridMultilevel"/>
    <w:tmpl w:val="59C8D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6"/>
  </w:num>
  <w:num w:numId="3">
    <w:abstractNumId w:val="10"/>
  </w:num>
  <w:num w:numId="4">
    <w:abstractNumId w:val="0"/>
  </w:num>
  <w:num w:numId="5">
    <w:abstractNumId w:val="36"/>
  </w:num>
  <w:num w:numId="6">
    <w:abstractNumId w:val="13"/>
  </w:num>
  <w:num w:numId="7">
    <w:abstractNumId w:val="19"/>
  </w:num>
  <w:num w:numId="8">
    <w:abstractNumId w:val="39"/>
  </w:num>
  <w:num w:numId="9">
    <w:abstractNumId w:val="15"/>
  </w:num>
  <w:num w:numId="10">
    <w:abstractNumId w:val="7"/>
  </w:num>
  <w:num w:numId="11">
    <w:abstractNumId w:val="9"/>
  </w:num>
  <w:num w:numId="12">
    <w:abstractNumId w:val="34"/>
  </w:num>
  <w:num w:numId="13">
    <w:abstractNumId w:val="25"/>
  </w:num>
  <w:num w:numId="14">
    <w:abstractNumId w:val="8"/>
  </w:num>
  <w:num w:numId="15">
    <w:abstractNumId w:val="33"/>
  </w:num>
  <w:num w:numId="16">
    <w:abstractNumId w:val="6"/>
  </w:num>
  <w:num w:numId="17">
    <w:abstractNumId w:val="37"/>
  </w:num>
  <w:num w:numId="18">
    <w:abstractNumId w:val="35"/>
  </w:num>
  <w:num w:numId="19">
    <w:abstractNumId w:val="30"/>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4"/>
  </w:num>
  <w:num w:numId="28">
    <w:abstractNumId w:val="18"/>
  </w:num>
  <w:num w:numId="29">
    <w:abstractNumId w:val="11"/>
  </w:num>
  <w:num w:numId="30">
    <w:abstractNumId w:val="26"/>
  </w:num>
  <w:num w:numId="31">
    <w:abstractNumId w:val="38"/>
  </w:num>
  <w:num w:numId="32">
    <w:abstractNumId w:val="29"/>
  </w:num>
  <w:num w:numId="33">
    <w:abstractNumId w:val="28"/>
  </w:num>
  <w:num w:numId="34">
    <w:abstractNumId w:val="22"/>
  </w:num>
  <w:num w:numId="35">
    <w:abstractNumId w:val="38"/>
  </w:num>
  <w:num w:numId="36">
    <w:abstractNumId w:val="14"/>
  </w:num>
  <w:num w:numId="37">
    <w:abstractNumId w:val="14"/>
  </w:num>
  <w:num w:numId="38">
    <w:abstractNumId w:val="17"/>
  </w:num>
  <w:num w:numId="39">
    <w:abstractNumId w:val="27"/>
  </w:num>
  <w:num w:numId="40">
    <w:abstractNumId w:val="3"/>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2"/>
  </w:num>
  <w:num w:numId="49">
    <w:abstractNumId w:val="5"/>
  </w:num>
  <w:num w:numId="50">
    <w:abstractNumId w:val="12"/>
  </w:num>
  <w:num w:numId="51">
    <w:abstractNumId w:val="20"/>
  </w:num>
  <w:num w:numId="52">
    <w:abstractNumId w:val="21"/>
  </w:num>
  <w:num w:numId="53">
    <w:abstractNumId w:val="32"/>
  </w:num>
  <w:num w:numId="54">
    <w:abstractNumId w:val="31"/>
  </w:num>
  <w:num w:numId="55">
    <w:abstractNumId w:val="1"/>
  </w:num>
  <w:num w:numId="56">
    <w:abstractNumId w:val="6"/>
  </w:num>
  <w:num w:numId="57">
    <w:abstractNumId w:val="6"/>
  </w:num>
  <w:num w:numId="58">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FE4"/>
    <w:rsid w:val="00000B05"/>
    <w:rsid w:val="00017316"/>
    <w:rsid w:val="00034F3C"/>
    <w:rsid w:val="000462D9"/>
    <w:rsid w:val="000600C8"/>
    <w:rsid w:val="0006386C"/>
    <w:rsid w:val="00067B39"/>
    <w:rsid w:val="00071AB6"/>
    <w:rsid w:val="0007318B"/>
    <w:rsid w:val="0007490D"/>
    <w:rsid w:val="000753AD"/>
    <w:rsid w:val="000921DE"/>
    <w:rsid w:val="00095EDC"/>
    <w:rsid w:val="00097A9B"/>
    <w:rsid w:val="000C080F"/>
    <w:rsid w:val="000E1DDA"/>
    <w:rsid w:val="000E3B1B"/>
    <w:rsid w:val="0012594E"/>
    <w:rsid w:val="00147413"/>
    <w:rsid w:val="00150E5D"/>
    <w:rsid w:val="00150FDE"/>
    <w:rsid w:val="00155115"/>
    <w:rsid w:val="00155C54"/>
    <w:rsid w:val="00166DFB"/>
    <w:rsid w:val="00182069"/>
    <w:rsid w:val="001906A1"/>
    <w:rsid w:val="0019422E"/>
    <w:rsid w:val="001A2A81"/>
    <w:rsid w:val="001A57A8"/>
    <w:rsid w:val="001B70FE"/>
    <w:rsid w:val="001D0175"/>
    <w:rsid w:val="001D3539"/>
    <w:rsid w:val="001E09A1"/>
    <w:rsid w:val="001E3842"/>
    <w:rsid w:val="001F612A"/>
    <w:rsid w:val="0020482B"/>
    <w:rsid w:val="00215DAF"/>
    <w:rsid w:val="00220699"/>
    <w:rsid w:val="00233F2E"/>
    <w:rsid w:val="0024564B"/>
    <w:rsid w:val="00254798"/>
    <w:rsid w:val="002721B2"/>
    <w:rsid w:val="00276DAB"/>
    <w:rsid w:val="002A1374"/>
    <w:rsid w:val="002A33CF"/>
    <w:rsid w:val="002B2DE4"/>
    <w:rsid w:val="002B307E"/>
    <w:rsid w:val="002C0A60"/>
    <w:rsid w:val="002C286B"/>
    <w:rsid w:val="002C5A29"/>
    <w:rsid w:val="002D0C63"/>
    <w:rsid w:val="002D45A1"/>
    <w:rsid w:val="002F1FA5"/>
    <w:rsid w:val="002F2BB9"/>
    <w:rsid w:val="002F69E5"/>
    <w:rsid w:val="00317B6D"/>
    <w:rsid w:val="00332D84"/>
    <w:rsid w:val="003603BB"/>
    <w:rsid w:val="00361642"/>
    <w:rsid w:val="003762F9"/>
    <w:rsid w:val="003B4E7E"/>
    <w:rsid w:val="003C0985"/>
    <w:rsid w:val="003C2B9D"/>
    <w:rsid w:val="003C379C"/>
    <w:rsid w:val="003C4EF1"/>
    <w:rsid w:val="003C702C"/>
    <w:rsid w:val="003E0E37"/>
    <w:rsid w:val="003F543C"/>
    <w:rsid w:val="00404A77"/>
    <w:rsid w:val="004118DE"/>
    <w:rsid w:val="0041616F"/>
    <w:rsid w:val="004234F2"/>
    <w:rsid w:val="00431150"/>
    <w:rsid w:val="004349E6"/>
    <w:rsid w:val="00434AE2"/>
    <w:rsid w:val="00436430"/>
    <w:rsid w:val="00443FB2"/>
    <w:rsid w:val="00456216"/>
    <w:rsid w:val="004601D5"/>
    <w:rsid w:val="004643E4"/>
    <w:rsid w:val="00475216"/>
    <w:rsid w:val="00495283"/>
    <w:rsid w:val="004C063A"/>
    <w:rsid w:val="004C6692"/>
    <w:rsid w:val="004D23AF"/>
    <w:rsid w:val="004F2033"/>
    <w:rsid w:val="004F76CE"/>
    <w:rsid w:val="005127C0"/>
    <w:rsid w:val="00524721"/>
    <w:rsid w:val="00526297"/>
    <w:rsid w:val="0052630C"/>
    <w:rsid w:val="0053200B"/>
    <w:rsid w:val="005447DF"/>
    <w:rsid w:val="00551BE5"/>
    <w:rsid w:val="00566189"/>
    <w:rsid w:val="00577872"/>
    <w:rsid w:val="005A3855"/>
    <w:rsid w:val="005A494C"/>
    <w:rsid w:val="005A7305"/>
    <w:rsid w:val="005C6126"/>
    <w:rsid w:val="005E07D2"/>
    <w:rsid w:val="005F314E"/>
    <w:rsid w:val="0060553E"/>
    <w:rsid w:val="006116A8"/>
    <w:rsid w:val="006121CD"/>
    <w:rsid w:val="00632A3B"/>
    <w:rsid w:val="006349C8"/>
    <w:rsid w:val="00634A88"/>
    <w:rsid w:val="00641F99"/>
    <w:rsid w:val="00642820"/>
    <w:rsid w:val="00663257"/>
    <w:rsid w:val="00677128"/>
    <w:rsid w:val="00686B99"/>
    <w:rsid w:val="00687F1D"/>
    <w:rsid w:val="006938F7"/>
    <w:rsid w:val="0069753A"/>
    <w:rsid w:val="006C1DAC"/>
    <w:rsid w:val="006C221A"/>
    <w:rsid w:val="006D69C6"/>
    <w:rsid w:val="006E3509"/>
    <w:rsid w:val="006F3927"/>
    <w:rsid w:val="00700283"/>
    <w:rsid w:val="0070385C"/>
    <w:rsid w:val="00711AFD"/>
    <w:rsid w:val="00711FEB"/>
    <w:rsid w:val="00717F00"/>
    <w:rsid w:val="007224C1"/>
    <w:rsid w:val="0073114A"/>
    <w:rsid w:val="00741433"/>
    <w:rsid w:val="0075484E"/>
    <w:rsid w:val="00754894"/>
    <w:rsid w:val="00763AC4"/>
    <w:rsid w:val="007721E0"/>
    <w:rsid w:val="00775FCA"/>
    <w:rsid w:val="00782AA3"/>
    <w:rsid w:val="0079349D"/>
    <w:rsid w:val="007949DC"/>
    <w:rsid w:val="0079654F"/>
    <w:rsid w:val="007A7107"/>
    <w:rsid w:val="007B48D8"/>
    <w:rsid w:val="007C27FC"/>
    <w:rsid w:val="007D5A12"/>
    <w:rsid w:val="007D6D27"/>
    <w:rsid w:val="007F0B11"/>
    <w:rsid w:val="007F1415"/>
    <w:rsid w:val="0080164D"/>
    <w:rsid w:val="008110FE"/>
    <w:rsid w:val="00814ECD"/>
    <w:rsid w:val="00820361"/>
    <w:rsid w:val="0082541E"/>
    <w:rsid w:val="00832AD2"/>
    <w:rsid w:val="00851511"/>
    <w:rsid w:val="008578E9"/>
    <w:rsid w:val="00857CE5"/>
    <w:rsid w:val="00862003"/>
    <w:rsid w:val="00863ECE"/>
    <w:rsid w:val="00867811"/>
    <w:rsid w:val="00875716"/>
    <w:rsid w:val="0088056A"/>
    <w:rsid w:val="008B2089"/>
    <w:rsid w:val="008B5CA4"/>
    <w:rsid w:val="008D0B5C"/>
    <w:rsid w:val="008D521A"/>
    <w:rsid w:val="008E2444"/>
    <w:rsid w:val="008F1E9D"/>
    <w:rsid w:val="008F62E7"/>
    <w:rsid w:val="00904616"/>
    <w:rsid w:val="00907D2A"/>
    <w:rsid w:val="0091075B"/>
    <w:rsid w:val="00915EA1"/>
    <w:rsid w:val="00933615"/>
    <w:rsid w:val="0094396F"/>
    <w:rsid w:val="0096009C"/>
    <w:rsid w:val="00985F7C"/>
    <w:rsid w:val="009B17CD"/>
    <w:rsid w:val="009B515E"/>
    <w:rsid w:val="009C542A"/>
    <w:rsid w:val="009E6D25"/>
    <w:rsid w:val="009F370A"/>
    <w:rsid w:val="00A01790"/>
    <w:rsid w:val="00A01A6C"/>
    <w:rsid w:val="00A225E8"/>
    <w:rsid w:val="00A32422"/>
    <w:rsid w:val="00A36975"/>
    <w:rsid w:val="00A82735"/>
    <w:rsid w:val="00A92938"/>
    <w:rsid w:val="00A94E84"/>
    <w:rsid w:val="00AA1159"/>
    <w:rsid w:val="00AA2A2B"/>
    <w:rsid w:val="00AB582D"/>
    <w:rsid w:val="00AB71D3"/>
    <w:rsid w:val="00AC3ECD"/>
    <w:rsid w:val="00AD7235"/>
    <w:rsid w:val="00AD794B"/>
    <w:rsid w:val="00AE08DF"/>
    <w:rsid w:val="00AF228E"/>
    <w:rsid w:val="00B039DA"/>
    <w:rsid w:val="00B077C1"/>
    <w:rsid w:val="00B12AE5"/>
    <w:rsid w:val="00B1356A"/>
    <w:rsid w:val="00B14CD3"/>
    <w:rsid w:val="00B34EEA"/>
    <w:rsid w:val="00B461B0"/>
    <w:rsid w:val="00B66758"/>
    <w:rsid w:val="00B7159E"/>
    <w:rsid w:val="00B8429B"/>
    <w:rsid w:val="00B9029B"/>
    <w:rsid w:val="00B9099E"/>
    <w:rsid w:val="00B95EAA"/>
    <w:rsid w:val="00B964E1"/>
    <w:rsid w:val="00BA5884"/>
    <w:rsid w:val="00BA5AA3"/>
    <w:rsid w:val="00BA5F98"/>
    <w:rsid w:val="00BA7EE0"/>
    <w:rsid w:val="00BB081E"/>
    <w:rsid w:val="00BB6CA6"/>
    <w:rsid w:val="00BC14F4"/>
    <w:rsid w:val="00BC223C"/>
    <w:rsid w:val="00BD2458"/>
    <w:rsid w:val="00BE78E4"/>
    <w:rsid w:val="00BF4FE4"/>
    <w:rsid w:val="00C0571F"/>
    <w:rsid w:val="00C07000"/>
    <w:rsid w:val="00C07F3E"/>
    <w:rsid w:val="00C33355"/>
    <w:rsid w:val="00C44A3F"/>
    <w:rsid w:val="00C4655D"/>
    <w:rsid w:val="00C82FCE"/>
    <w:rsid w:val="00C8651F"/>
    <w:rsid w:val="00C97F0A"/>
    <w:rsid w:val="00CA7358"/>
    <w:rsid w:val="00CB0A2F"/>
    <w:rsid w:val="00CC7001"/>
    <w:rsid w:val="00CD228D"/>
    <w:rsid w:val="00CD4260"/>
    <w:rsid w:val="00CE2F84"/>
    <w:rsid w:val="00D30F6E"/>
    <w:rsid w:val="00D55283"/>
    <w:rsid w:val="00D57017"/>
    <w:rsid w:val="00D61449"/>
    <w:rsid w:val="00D65A53"/>
    <w:rsid w:val="00D7254B"/>
    <w:rsid w:val="00D82FC9"/>
    <w:rsid w:val="00D850F0"/>
    <w:rsid w:val="00D8709B"/>
    <w:rsid w:val="00DA12A3"/>
    <w:rsid w:val="00DA1DC1"/>
    <w:rsid w:val="00DA4F01"/>
    <w:rsid w:val="00DA7E8A"/>
    <w:rsid w:val="00DB23A6"/>
    <w:rsid w:val="00DE4A8F"/>
    <w:rsid w:val="00DE4E72"/>
    <w:rsid w:val="00DF17BE"/>
    <w:rsid w:val="00DF3651"/>
    <w:rsid w:val="00DF39B6"/>
    <w:rsid w:val="00DF548E"/>
    <w:rsid w:val="00E00BBF"/>
    <w:rsid w:val="00E05489"/>
    <w:rsid w:val="00E07796"/>
    <w:rsid w:val="00E112F6"/>
    <w:rsid w:val="00E22F6A"/>
    <w:rsid w:val="00E26F5D"/>
    <w:rsid w:val="00E32C3D"/>
    <w:rsid w:val="00E456B7"/>
    <w:rsid w:val="00E524EA"/>
    <w:rsid w:val="00E56614"/>
    <w:rsid w:val="00E605B8"/>
    <w:rsid w:val="00E71DC8"/>
    <w:rsid w:val="00E80FCD"/>
    <w:rsid w:val="00E846AB"/>
    <w:rsid w:val="00E8750E"/>
    <w:rsid w:val="00E916C1"/>
    <w:rsid w:val="00EA1395"/>
    <w:rsid w:val="00EA20C3"/>
    <w:rsid w:val="00EA26BE"/>
    <w:rsid w:val="00EC2079"/>
    <w:rsid w:val="00EC4699"/>
    <w:rsid w:val="00ED2128"/>
    <w:rsid w:val="00ED6829"/>
    <w:rsid w:val="00ED6A68"/>
    <w:rsid w:val="00EE731E"/>
    <w:rsid w:val="00EE7413"/>
    <w:rsid w:val="00F01F56"/>
    <w:rsid w:val="00F30BA4"/>
    <w:rsid w:val="00F37253"/>
    <w:rsid w:val="00F46523"/>
    <w:rsid w:val="00F46CBB"/>
    <w:rsid w:val="00F47B1E"/>
    <w:rsid w:val="00F51CDF"/>
    <w:rsid w:val="00F6261B"/>
    <w:rsid w:val="00F76D1B"/>
    <w:rsid w:val="00F83964"/>
    <w:rsid w:val="00F871BB"/>
    <w:rsid w:val="00FB18E1"/>
    <w:rsid w:val="00FC3225"/>
    <w:rsid w:val="00FD7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3D4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582D"/>
    <w:pPr>
      <w:keepNext/>
      <w:keepLines/>
      <w:numPr>
        <w:numId w:val="16"/>
      </w:numPr>
      <w:spacing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495283"/>
    <w:pPr>
      <w:keepNext/>
      <w:keepLines/>
      <w:numPr>
        <w:ilvl w:val="1"/>
        <w:numId w:val="16"/>
      </w:numPr>
      <w:spacing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B7159E"/>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59E"/>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7159E"/>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7159E"/>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7159E"/>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7159E"/>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7159E"/>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FE4"/>
  </w:style>
  <w:style w:type="paragraph" w:styleId="Footer">
    <w:name w:val="footer"/>
    <w:basedOn w:val="Normal"/>
    <w:link w:val="FooterChar"/>
    <w:uiPriority w:val="99"/>
    <w:unhideWhenUsed/>
    <w:rsid w:val="00BF4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FE4"/>
  </w:style>
  <w:style w:type="character" w:customStyle="1" w:styleId="Heading1Char">
    <w:name w:val="Heading 1 Char"/>
    <w:basedOn w:val="DefaultParagraphFont"/>
    <w:link w:val="Heading1"/>
    <w:uiPriority w:val="9"/>
    <w:rsid w:val="00AB582D"/>
    <w:rPr>
      <w:rFonts w:asciiTheme="majorHAnsi" w:eastAsiaTheme="majorEastAsia" w:hAnsiTheme="majorHAnsi" w:cstheme="majorBidi"/>
      <w:b/>
      <w:color w:val="2E74B5" w:themeColor="accent1" w:themeShade="BF"/>
      <w:sz w:val="32"/>
      <w:szCs w:val="32"/>
    </w:rPr>
  </w:style>
  <w:style w:type="paragraph" w:styleId="ListParagraph">
    <w:name w:val="List Paragraph"/>
    <w:basedOn w:val="Normal"/>
    <w:uiPriority w:val="34"/>
    <w:qFormat/>
    <w:rsid w:val="00475216"/>
    <w:pPr>
      <w:ind w:left="720"/>
      <w:contextualSpacing/>
    </w:pPr>
  </w:style>
  <w:style w:type="character" w:styleId="Hyperlink">
    <w:name w:val="Hyperlink"/>
    <w:basedOn w:val="DefaultParagraphFont"/>
    <w:uiPriority w:val="99"/>
    <w:unhideWhenUsed/>
    <w:rsid w:val="003762F9"/>
    <w:rPr>
      <w:color w:val="0563C1" w:themeColor="hyperlink"/>
      <w:u w:val="single"/>
    </w:rPr>
  </w:style>
  <w:style w:type="character" w:customStyle="1" w:styleId="Heading2Char">
    <w:name w:val="Heading 2 Char"/>
    <w:basedOn w:val="DefaultParagraphFont"/>
    <w:link w:val="Heading2"/>
    <w:uiPriority w:val="9"/>
    <w:rsid w:val="00495283"/>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semiHidden/>
    <w:rsid w:val="00B7159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59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7159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7159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7159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715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7159E"/>
    <w:rPr>
      <w:rFonts w:asciiTheme="majorHAnsi" w:eastAsiaTheme="majorEastAsia" w:hAnsiTheme="majorHAnsi" w:cstheme="majorBidi"/>
      <w:i/>
      <w:iCs/>
      <w:color w:val="272727" w:themeColor="text1" w:themeTint="D8"/>
      <w:sz w:val="21"/>
      <w:szCs w:val="21"/>
    </w:rPr>
  </w:style>
  <w:style w:type="paragraph" w:customStyle="1" w:styleId="Pa27">
    <w:name w:val="Pa27"/>
    <w:basedOn w:val="Normal"/>
    <w:next w:val="Normal"/>
    <w:uiPriority w:val="99"/>
    <w:rsid w:val="00700283"/>
    <w:pPr>
      <w:autoSpaceDE w:val="0"/>
      <w:autoSpaceDN w:val="0"/>
      <w:adjustRightInd w:val="0"/>
      <w:spacing w:after="0" w:line="241" w:lineRule="atLeast"/>
    </w:pPr>
    <w:rPr>
      <w:rFonts w:ascii="Optima LT Std DemiBold" w:hAnsi="Optima LT Std DemiBold"/>
      <w:sz w:val="24"/>
      <w:szCs w:val="24"/>
    </w:rPr>
  </w:style>
  <w:style w:type="paragraph" w:customStyle="1" w:styleId="Default">
    <w:name w:val="Default"/>
    <w:rsid w:val="00ED682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D6829"/>
    <w:rPr>
      <w:sz w:val="16"/>
      <w:szCs w:val="16"/>
    </w:rPr>
  </w:style>
  <w:style w:type="paragraph" w:styleId="CommentText">
    <w:name w:val="annotation text"/>
    <w:basedOn w:val="Normal"/>
    <w:link w:val="CommentTextChar"/>
    <w:uiPriority w:val="99"/>
    <w:semiHidden/>
    <w:unhideWhenUsed/>
    <w:rsid w:val="00ED6829"/>
    <w:pPr>
      <w:spacing w:line="240" w:lineRule="auto"/>
    </w:pPr>
    <w:rPr>
      <w:sz w:val="20"/>
      <w:szCs w:val="20"/>
    </w:rPr>
  </w:style>
  <w:style w:type="character" w:customStyle="1" w:styleId="CommentTextChar">
    <w:name w:val="Comment Text Char"/>
    <w:basedOn w:val="DefaultParagraphFont"/>
    <w:link w:val="CommentText"/>
    <w:uiPriority w:val="99"/>
    <w:semiHidden/>
    <w:rsid w:val="00ED6829"/>
    <w:rPr>
      <w:sz w:val="20"/>
      <w:szCs w:val="20"/>
    </w:rPr>
  </w:style>
  <w:style w:type="paragraph" w:styleId="BalloonText">
    <w:name w:val="Balloon Text"/>
    <w:basedOn w:val="Normal"/>
    <w:link w:val="BalloonTextChar"/>
    <w:uiPriority w:val="99"/>
    <w:semiHidden/>
    <w:unhideWhenUsed/>
    <w:rsid w:val="00ED6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8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2594E"/>
    <w:rPr>
      <w:b/>
      <w:bCs/>
    </w:rPr>
  </w:style>
  <w:style w:type="character" w:customStyle="1" w:styleId="CommentSubjectChar">
    <w:name w:val="Comment Subject Char"/>
    <w:basedOn w:val="CommentTextChar"/>
    <w:link w:val="CommentSubject"/>
    <w:uiPriority w:val="99"/>
    <w:semiHidden/>
    <w:rsid w:val="0012594E"/>
    <w:rPr>
      <w:b/>
      <w:bCs/>
      <w:sz w:val="20"/>
      <w:szCs w:val="20"/>
    </w:rPr>
  </w:style>
  <w:style w:type="paragraph" w:customStyle="1" w:styleId="Pa13">
    <w:name w:val="Pa13"/>
    <w:basedOn w:val="Normal"/>
    <w:next w:val="Normal"/>
    <w:uiPriority w:val="99"/>
    <w:rsid w:val="003C4EF1"/>
    <w:pPr>
      <w:autoSpaceDE w:val="0"/>
      <w:autoSpaceDN w:val="0"/>
      <w:adjustRightInd w:val="0"/>
      <w:spacing w:after="0" w:line="201" w:lineRule="atLeast"/>
    </w:pPr>
    <w:rPr>
      <w:rFonts w:ascii="Optima LT Std DemiBold" w:hAnsi="Optima LT Std DemiBold"/>
      <w:sz w:val="24"/>
      <w:szCs w:val="24"/>
    </w:rPr>
  </w:style>
  <w:style w:type="paragraph" w:styleId="NoSpacing">
    <w:name w:val="No Spacing"/>
    <w:uiPriority w:val="1"/>
    <w:qFormat/>
    <w:rsid w:val="00DA12A3"/>
    <w:pPr>
      <w:spacing w:after="0" w:line="240" w:lineRule="auto"/>
    </w:pPr>
    <w:rPr>
      <w:rFonts w:ascii="Calibri" w:eastAsia="Calibri" w:hAnsi="Calibri" w:cs="Arial"/>
    </w:rPr>
  </w:style>
  <w:style w:type="paragraph" w:styleId="FootnoteText">
    <w:name w:val="footnote text"/>
    <w:basedOn w:val="Normal"/>
    <w:link w:val="FootnoteTextChar"/>
    <w:uiPriority w:val="99"/>
    <w:unhideWhenUsed/>
    <w:rsid w:val="00D61449"/>
    <w:pPr>
      <w:spacing w:after="0" w:line="240" w:lineRule="auto"/>
    </w:pPr>
    <w:rPr>
      <w:sz w:val="20"/>
      <w:szCs w:val="20"/>
    </w:rPr>
  </w:style>
  <w:style w:type="character" w:customStyle="1" w:styleId="FootnoteTextChar">
    <w:name w:val="Footnote Text Char"/>
    <w:basedOn w:val="DefaultParagraphFont"/>
    <w:link w:val="FootnoteText"/>
    <w:uiPriority w:val="99"/>
    <w:rsid w:val="00D61449"/>
    <w:rPr>
      <w:sz w:val="20"/>
      <w:szCs w:val="20"/>
    </w:rPr>
  </w:style>
  <w:style w:type="character" w:styleId="FootnoteReference">
    <w:name w:val="footnote reference"/>
    <w:basedOn w:val="DefaultParagraphFont"/>
    <w:uiPriority w:val="99"/>
    <w:unhideWhenUsed/>
    <w:rsid w:val="00D61449"/>
    <w:rPr>
      <w:vertAlign w:val="superscript"/>
    </w:rPr>
  </w:style>
  <w:style w:type="paragraph" w:styleId="Revision">
    <w:name w:val="Revision"/>
    <w:hidden/>
    <w:uiPriority w:val="99"/>
    <w:semiHidden/>
    <w:rsid w:val="009439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565846">
      <w:bodyDiv w:val="1"/>
      <w:marLeft w:val="0"/>
      <w:marRight w:val="0"/>
      <w:marTop w:val="0"/>
      <w:marBottom w:val="0"/>
      <w:divBdr>
        <w:top w:val="none" w:sz="0" w:space="0" w:color="auto"/>
        <w:left w:val="none" w:sz="0" w:space="0" w:color="auto"/>
        <w:bottom w:val="none" w:sz="0" w:space="0" w:color="auto"/>
        <w:right w:val="none" w:sz="0" w:space="0" w:color="auto"/>
      </w:divBdr>
    </w:div>
    <w:div w:id="475536655">
      <w:bodyDiv w:val="1"/>
      <w:marLeft w:val="0"/>
      <w:marRight w:val="0"/>
      <w:marTop w:val="0"/>
      <w:marBottom w:val="0"/>
      <w:divBdr>
        <w:top w:val="none" w:sz="0" w:space="0" w:color="auto"/>
        <w:left w:val="none" w:sz="0" w:space="0" w:color="auto"/>
        <w:bottom w:val="none" w:sz="0" w:space="0" w:color="auto"/>
        <w:right w:val="none" w:sz="0" w:space="0" w:color="auto"/>
      </w:divBdr>
    </w:div>
    <w:div w:id="1219321753">
      <w:bodyDiv w:val="1"/>
      <w:marLeft w:val="0"/>
      <w:marRight w:val="0"/>
      <w:marTop w:val="0"/>
      <w:marBottom w:val="0"/>
      <w:divBdr>
        <w:top w:val="none" w:sz="0" w:space="0" w:color="auto"/>
        <w:left w:val="none" w:sz="0" w:space="0" w:color="auto"/>
        <w:bottom w:val="none" w:sz="0" w:space="0" w:color="auto"/>
        <w:right w:val="none" w:sz="0" w:space="0" w:color="auto"/>
      </w:divBdr>
    </w:div>
    <w:div w:id="1496342305">
      <w:bodyDiv w:val="1"/>
      <w:marLeft w:val="0"/>
      <w:marRight w:val="0"/>
      <w:marTop w:val="0"/>
      <w:marBottom w:val="0"/>
      <w:divBdr>
        <w:top w:val="none" w:sz="0" w:space="0" w:color="auto"/>
        <w:left w:val="none" w:sz="0" w:space="0" w:color="auto"/>
        <w:bottom w:val="none" w:sz="0" w:space="0" w:color="auto"/>
        <w:right w:val="none" w:sz="0" w:space="0" w:color="auto"/>
      </w:divBdr>
    </w:div>
    <w:div w:id="17809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B0E1AE7F-4322-4146-A056-9487CDA7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1755</Words>
  <Characters>10009</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2016-09-05T12:58:00Z</cp:lastPrinted>
  <dcterms:created xsi:type="dcterms:W3CDTF">2016-09-15T09:19:00Z</dcterms:created>
  <dcterms:modified xsi:type="dcterms:W3CDTF">2016-09-15T09:19:00Z</dcterms:modified>
</cp:coreProperties>
</file>